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简体"/>
          <w:sz w:val="44"/>
          <w:szCs w:val="44"/>
        </w:rPr>
      </w:pPr>
      <w:r>
        <w:rPr>
          <w:rFonts w:eastAsia="方正小标宋简体"/>
          <w:sz w:val="44"/>
          <w:szCs w:val="44"/>
        </w:rPr>
        <w:t>106003柳州市干部测评与高层次人才服务中心2022年预算公开说明</w:t>
      </w:r>
    </w:p>
    <w:p>
      <w:pPr>
        <w:spacing w:line="560" w:lineRule="exact"/>
        <w:rPr>
          <w:rFonts w:eastAsia="方正小标宋简体"/>
          <w:sz w:val="44"/>
          <w:szCs w:val="44"/>
        </w:rPr>
      </w:pPr>
      <w:bookmarkStart w:id="0" w:name="_GoBack"/>
      <w:bookmarkEnd w:id="0"/>
    </w:p>
    <w:p>
      <w:pPr>
        <w:spacing w:line="560" w:lineRule="exact"/>
        <w:jc w:val="center"/>
        <w:rPr>
          <w:rStyle w:val="8"/>
          <w:rFonts w:eastAsia="方正小标宋简体"/>
          <w:bCs w:val="0"/>
          <w:sz w:val="44"/>
          <w:szCs w:val="44"/>
        </w:rPr>
      </w:pPr>
      <w:r>
        <w:rPr>
          <w:rStyle w:val="8"/>
          <w:rFonts w:eastAsia="方正小标宋简体"/>
          <w:bCs w:val="0"/>
          <w:sz w:val="44"/>
          <w:szCs w:val="44"/>
        </w:rPr>
        <w:t>目 录</w:t>
      </w:r>
    </w:p>
    <w:p>
      <w:pPr>
        <w:spacing w:line="560" w:lineRule="exact"/>
        <w:jc w:val="center"/>
        <w:rPr>
          <w:rStyle w:val="8"/>
          <w:rFonts w:eastAsia="方正小标宋简体"/>
          <w:bCs w:val="0"/>
          <w:sz w:val="32"/>
          <w:szCs w:val="32"/>
        </w:rPr>
      </w:pPr>
    </w:p>
    <w:p>
      <w:pPr>
        <w:pStyle w:val="5"/>
        <w:spacing w:before="0" w:beforeAutospacing="0" w:after="0" w:afterAutospacing="0"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第一部分：柳州市干部测评与高层次人才服务中心概况</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一、主要职责</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二、机构设置情况</w:t>
      </w:r>
    </w:p>
    <w:p>
      <w:pPr>
        <w:pStyle w:val="5"/>
        <w:spacing w:before="0" w:beforeAutospacing="0" w:after="0" w:afterAutospacing="0"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第二部分：柳州市干部测评与高层次人才服务中心2022年预算报表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一、单位收支总体情况表（预算公开01表）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二、单位收入总体情况表（预算公开02表）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三、单位支出总体情况表（预算公开03表）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四、财政拨款收支总体情况表（预算公开04表）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五、一般公共预算支出情况表（预算公开05表）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六、一般公共预算基本支出情况表（预算公开06表）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七、一般公共预算“三公”经费支出情况表（预算公开07表）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八、政府性基金预算支出情况表（预算公开08表）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九、政府采购预算表（预算公开09表）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十、政府购买服务表（预算公开10表）</w:t>
      </w:r>
    </w:p>
    <w:p>
      <w:pPr>
        <w:pStyle w:val="5"/>
        <w:spacing w:before="0" w:beforeAutospacing="0" w:after="0" w:afterAutospacing="0"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第三部分：柳州市干部测评与高层次人才服务中心2022年预算情况说明</w:t>
      </w:r>
    </w:p>
    <w:p>
      <w:pPr>
        <w:pStyle w:val="5"/>
        <w:spacing w:before="0" w:beforeAutospacing="0" w:after="0" w:afterAutospacing="0" w:line="560" w:lineRule="exact"/>
        <w:ind w:firstLine="643"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第四部分：名词解释</w:t>
      </w:r>
    </w:p>
    <w:p>
      <w:pPr>
        <w:adjustRightInd w:val="0"/>
        <w:snapToGrid w:val="0"/>
        <w:spacing w:line="560" w:lineRule="exact"/>
        <w:ind w:right="-218" w:rightChars="-104"/>
        <w:jc w:val="center"/>
        <w:rPr>
          <w:rStyle w:val="8"/>
          <w:rFonts w:eastAsia="仿宋_GB2312"/>
          <w:color w:val="000000"/>
          <w:sz w:val="32"/>
          <w:szCs w:val="32"/>
        </w:rPr>
      </w:pPr>
      <w:r>
        <w:rPr>
          <w:rStyle w:val="8"/>
          <w:rFonts w:eastAsia="仿宋_GB2312"/>
          <w:color w:val="000000"/>
          <w:sz w:val="32"/>
          <w:szCs w:val="32"/>
        </w:rPr>
        <w:t>第一部分：柳州市干部测评与高层次人才服务中心概况</w:t>
      </w:r>
    </w:p>
    <w:p>
      <w:pPr>
        <w:pStyle w:val="5"/>
        <w:spacing w:before="0" w:beforeAutospacing="0" w:after="0" w:afterAutospacing="0" w:line="560" w:lineRule="exact"/>
        <w:ind w:firstLine="643" w:firstLineChars="200"/>
        <w:jc w:val="both"/>
        <w:rPr>
          <w:rFonts w:ascii="Times New Roman" w:hAnsi="Times New Roman" w:eastAsia="黑体" w:cs="Times New Roman"/>
          <w:b/>
          <w:bCs/>
          <w:color w:val="000000"/>
          <w:sz w:val="32"/>
          <w:szCs w:val="32"/>
        </w:rPr>
      </w:pPr>
      <w:r>
        <w:rPr>
          <w:rFonts w:ascii="Times New Roman" w:hAnsi="黑体" w:eastAsia="黑体" w:cs="Times New Roman"/>
          <w:b/>
          <w:bCs/>
          <w:color w:val="000000"/>
          <w:sz w:val="32"/>
          <w:szCs w:val="32"/>
        </w:rPr>
        <w:t>一、主要职责</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（一）负责研究领导班子和干部人才综合评价机制和办法，分析全市领导干部和干部队伍建设情况，为干部与人才考核考察、选拔任用、教育培养和日常管理提供支持。</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二）承担高层次人才资源综合储备和开发工作，做好高层次人才的挖掘和培养，为高层次人才招引提供推荐、联系服务。举办高层次人才培训和交流活动，搭建党政机关、中区直驻柳以及市属企事业单位干部人才交流、培育平台。</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（三）负责中组部全国领导干部选拔考试通用题库柳州分题库的管理和使用，配套开发柳州地方特色试题库。为市属各单位、各县区提供考务指导以及考试测评相关问题咨询和技术支持。</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（四）筹划、指导和落实全市干部与人才心理健康关爱工作，建立和完善干部与人才心理健康服务体系。</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（五）完成主管部门交办的其他任务。</w:t>
      </w:r>
    </w:p>
    <w:p>
      <w:pPr>
        <w:pStyle w:val="5"/>
        <w:spacing w:before="0" w:beforeAutospacing="0" w:after="0" w:afterAutospacing="0" w:line="560" w:lineRule="exact"/>
        <w:ind w:firstLine="643" w:firstLineChars="200"/>
        <w:jc w:val="both"/>
        <w:rPr>
          <w:rFonts w:ascii="Times New Roman" w:hAnsi="Times New Roman" w:eastAsia="黑体" w:cs="Times New Roman"/>
          <w:b/>
          <w:bCs/>
          <w:color w:val="000000"/>
          <w:sz w:val="32"/>
          <w:szCs w:val="32"/>
        </w:rPr>
      </w:pPr>
      <w:r>
        <w:rPr>
          <w:rFonts w:ascii="Times New Roman" w:hAnsi="黑体" w:eastAsia="黑体" w:cs="Times New Roman"/>
          <w:b/>
          <w:bCs/>
          <w:color w:val="000000"/>
          <w:sz w:val="32"/>
          <w:szCs w:val="32"/>
        </w:rPr>
        <w:t>二、机构设置情况</w:t>
      </w:r>
    </w:p>
    <w:p>
      <w:pPr>
        <w:adjustRightInd w:val="0"/>
        <w:snapToGrid w:val="0"/>
        <w:spacing w:line="560" w:lineRule="exact"/>
        <w:ind w:right="-218" w:rightChars="-104" w:firstLine="640" w:firstLineChars="200"/>
        <w:rPr>
          <w:rFonts w:eastAsia="仿宋_GB2312"/>
          <w:color w:val="000000"/>
          <w:sz w:val="32"/>
          <w:szCs w:val="32"/>
        </w:rPr>
      </w:pPr>
      <w:r>
        <w:rPr>
          <w:rFonts w:eastAsia="仿宋_GB2312"/>
          <w:sz w:val="32"/>
          <w:szCs w:val="32"/>
        </w:rPr>
        <w:t>根据三定方案，</w:t>
      </w:r>
      <w:r>
        <w:rPr>
          <w:rStyle w:val="8"/>
          <w:rFonts w:eastAsia="仿宋_GB2312"/>
          <w:b w:val="0"/>
          <w:color w:val="000000"/>
          <w:sz w:val="32"/>
          <w:szCs w:val="32"/>
        </w:rPr>
        <w:t>柳州市干部测评与高层次人才服务中心</w:t>
      </w:r>
      <w:r>
        <w:rPr>
          <w:rFonts w:eastAsia="仿宋_GB2312"/>
          <w:sz w:val="32"/>
          <w:szCs w:val="32"/>
        </w:rPr>
        <w:t>为组织部管理的副处级公益一类全额拨款事业单位。</w:t>
      </w:r>
    </w:p>
    <w:p>
      <w:pPr>
        <w:pStyle w:val="5"/>
        <w:spacing w:before="0" w:beforeAutospacing="0" w:after="0" w:afterAutospacing="0" w:line="540" w:lineRule="exact"/>
        <w:jc w:val="both"/>
        <w:rPr>
          <w:rFonts w:ascii="Times New Roman" w:hAnsi="Times New Roman" w:eastAsia="仿宋_GB2312" w:cs="Times New Roman"/>
          <w:color w:val="000000"/>
          <w:sz w:val="32"/>
          <w:szCs w:val="32"/>
        </w:rPr>
      </w:pPr>
    </w:p>
    <w:p>
      <w:pPr>
        <w:pStyle w:val="5"/>
        <w:spacing w:before="0" w:beforeAutospacing="0" w:after="0" w:afterAutospacing="0" w:line="560" w:lineRule="exact"/>
        <w:jc w:val="center"/>
        <w:rPr>
          <w:rStyle w:val="8"/>
          <w:rFonts w:ascii="Times New Roman" w:hAnsi="Times New Roman" w:eastAsia="仿宋_GB2312" w:cs="Times New Roman"/>
          <w:color w:val="000000"/>
          <w:sz w:val="32"/>
          <w:szCs w:val="32"/>
        </w:rPr>
      </w:pPr>
      <w:r>
        <w:rPr>
          <w:rFonts w:ascii="Times New Roman" w:hAnsi="Times New Roman" w:eastAsia="仿宋_GB2312" w:cs="Times New Roman"/>
          <w:b/>
          <w:bCs/>
          <w:color w:val="000000"/>
          <w:sz w:val="32"/>
          <w:szCs w:val="32"/>
        </w:rPr>
        <w:t>第二部分：</w:t>
      </w:r>
      <w:r>
        <w:rPr>
          <w:rStyle w:val="8"/>
          <w:rFonts w:ascii="Times New Roman" w:hAnsi="Times New Roman" w:eastAsia="仿宋_GB2312" w:cs="Times New Roman"/>
          <w:color w:val="000000"/>
          <w:sz w:val="32"/>
          <w:szCs w:val="32"/>
        </w:rPr>
        <w:t>柳州市干部测评与高层次人才服务中心</w:t>
      </w:r>
    </w:p>
    <w:p>
      <w:pPr>
        <w:pStyle w:val="5"/>
        <w:spacing w:before="0" w:beforeAutospacing="0" w:after="0" w:afterAutospacing="0" w:line="560" w:lineRule="exact"/>
        <w:jc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2022年预算报表</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一、单位收支总体情况表（预算公开01表）</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二、单位收入总体情况表（预算公开02表）</w:t>
      </w:r>
    </w:p>
    <w:p>
      <w:pPr>
        <w:pStyle w:val="5"/>
        <w:spacing w:before="0" w:beforeAutospacing="0" w:after="0" w:afterAutospacing="0" w:line="560" w:lineRule="exact"/>
        <w:ind w:firstLine="640" w:firstLineChars="200"/>
        <w:jc w:val="both"/>
        <w:rPr>
          <w:rFonts w:ascii="Times New Roman" w:hAnsi="Times New Roman" w:eastAsia="仿宋_GB2312" w:cs="Times New Roman"/>
          <w:b/>
          <w:bCs/>
          <w:color w:val="000000"/>
          <w:sz w:val="32"/>
          <w:szCs w:val="32"/>
        </w:rPr>
      </w:pPr>
      <w:r>
        <w:rPr>
          <w:rFonts w:ascii="Times New Roman" w:hAnsi="Times New Roman" w:eastAsia="仿宋_GB2312" w:cs="Times New Roman"/>
          <w:bCs/>
          <w:color w:val="000000"/>
          <w:sz w:val="32"/>
          <w:szCs w:val="32"/>
        </w:rPr>
        <w:t>三、单位支出总体情况表（预算公开03表）</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四、财政拨款收支总体情况表（预算公开04表）</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五、一般公共预算支出情况表（预算公开05表）</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六、一般公共预算基本支出情况表（预算公开06表）</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七、一般公共预算“三公”经费支出情况表（预算公开07表）</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八、政府性基金预算支出情况表（预算公开08表）</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九、政府采购预算表（预算公开09表）</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十、政府购买服务表（预算公开10表）</w:t>
      </w:r>
    </w:p>
    <w:p>
      <w:pPr>
        <w:pStyle w:val="5"/>
        <w:spacing w:before="0" w:beforeAutospacing="0" w:after="0" w:afterAutospacing="0" w:line="560" w:lineRule="exact"/>
        <w:ind w:firstLine="643" w:firstLineChars="200"/>
        <w:jc w:val="both"/>
        <w:rPr>
          <w:rFonts w:ascii="Times New Roman" w:hAnsi="Times New Roman" w:eastAsia="仿宋_GB2312" w:cs="Times New Roman"/>
          <w:sz w:val="32"/>
          <w:szCs w:val="32"/>
          <w:highlight w:val="cyan"/>
        </w:rPr>
      </w:pPr>
      <w:r>
        <w:rPr>
          <w:rFonts w:ascii="Times New Roman" w:hAnsi="Times New Roman" w:eastAsia="仿宋_GB2312" w:cs="Times New Roman"/>
          <w:b/>
          <w:bCs/>
          <w:sz w:val="32"/>
          <w:szCs w:val="32"/>
        </w:rPr>
        <w:t>上述报表详见附件。</w:t>
      </w:r>
    </w:p>
    <w:p>
      <w:pPr>
        <w:pStyle w:val="5"/>
        <w:spacing w:before="0" w:beforeAutospacing="0" w:after="0" w:afterAutospacing="0" w:line="560" w:lineRule="exact"/>
        <w:jc w:val="both"/>
        <w:rPr>
          <w:rFonts w:ascii="Times New Roman" w:hAnsi="Times New Roman" w:eastAsia="仿宋_GB2312" w:cs="Times New Roman"/>
          <w:b/>
          <w:bCs/>
          <w:color w:val="000000"/>
          <w:sz w:val="32"/>
          <w:szCs w:val="32"/>
        </w:rPr>
      </w:pPr>
    </w:p>
    <w:p>
      <w:pPr>
        <w:pStyle w:val="5"/>
        <w:spacing w:before="0" w:beforeAutospacing="0" w:after="0" w:afterAutospacing="0" w:line="560" w:lineRule="exact"/>
        <w:jc w:val="center"/>
        <w:rPr>
          <w:rStyle w:val="8"/>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2"/>
          <w:sz w:val="32"/>
          <w:szCs w:val="32"/>
        </w:rPr>
        <w:t>第三部分：</w:t>
      </w:r>
      <w:r>
        <w:rPr>
          <w:rStyle w:val="8"/>
          <w:rFonts w:ascii="Times New Roman" w:hAnsi="Times New Roman" w:eastAsia="仿宋_GB2312" w:cs="Times New Roman"/>
          <w:color w:val="000000"/>
          <w:sz w:val="32"/>
          <w:szCs w:val="32"/>
        </w:rPr>
        <w:t>柳州市干部测评与高层次人才服务中心</w:t>
      </w:r>
    </w:p>
    <w:p>
      <w:pPr>
        <w:pStyle w:val="5"/>
        <w:spacing w:before="0" w:beforeAutospacing="0" w:after="0" w:afterAutospacing="0" w:line="560" w:lineRule="exact"/>
        <w:jc w:val="center"/>
        <w:rPr>
          <w:rFonts w:ascii="Times New Roman" w:hAnsi="Times New Roman" w:eastAsia="仿宋_GB2312" w:cs="Times New Roman"/>
          <w:b/>
          <w:bCs/>
          <w:color w:val="000000"/>
          <w:kern w:val="2"/>
          <w:sz w:val="32"/>
          <w:szCs w:val="32"/>
        </w:rPr>
      </w:pPr>
      <w:r>
        <w:rPr>
          <w:rFonts w:ascii="Times New Roman" w:hAnsi="Times New Roman" w:eastAsia="仿宋_GB2312" w:cs="Times New Roman"/>
          <w:b/>
          <w:bCs/>
          <w:color w:val="000000"/>
          <w:kern w:val="2"/>
          <w:sz w:val="32"/>
          <w:szCs w:val="32"/>
        </w:rPr>
        <w:t>2022年预算情况说明</w:t>
      </w:r>
    </w:p>
    <w:p>
      <w:pPr>
        <w:tabs>
          <w:tab w:val="center" w:pos="4475"/>
        </w:tabs>
        <w:spacing w:line="560" w:lineRule="exact"/>
        <w:ind w:firstLine="645"/>
        <w:rPr>
          <w:rFonts w:eastAsia="黑体"/>
          <w:b/>
          <w:bCs/>
          <w:color w:val="000000"/>
          <w:kern w:val="0"/>
          <w:sz w:val="32"/>
          <w:szCs w:val="32"/>
        </w:rPr>
      </w:pPr>
      <w:r>
        <w:rPr>
          <w:rFonts w:hAnsi="黑体" w:eastAsia="黑体"/>
          <w:b/>
          <w:bCs/>
          <w:color w:val="000000"/>
          <w:kern w:val="0"/>
          <w:sz w:val="32"/>
          <w:szCs w:val="32"/>
        </w:rPr>
        <w:t>一、单位收支预算情况说明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strike/>
          <w:kern w:val="2"/>
          <w:sz w:val="32"/>
          <w:szCs w:val="32"/>
        </w:rPr>
      </w:pPr>
      <w:r>
        <w:rPr>
          <w:rFonts w:ascii="Times New Roman" w:hAnsi="Times New Roman" w:eastAsia="仿宋_GB2312" w:cs="Times New Roman"/>
          <w:kern w:val="2"/>
          <w:sz w:val="32"/>
          <w:szCs w:val="32"/>
        </w:rPr>
        <w:t>2022年单位收支总预算205.23万元，同比增加6.91万元，同比增长3.48%，收入包括：</w:t>
      </w:r>
      <w:r>
        <w:rPr>
          <w:rFonts w:ascii="Times New Roman" w:hAnsi="Times New Roman" w:eastAsia="仿宋_GB2312" w:cs="Times New Roman"/>
          <w:color w:val="000000"/>
          <w:sz w:val="32"/>
          <w:szCs w:val="32"/>
        </w:rPr>
        <w:t>一般公共财政预算拨款</w:t>
      </w:r>
      <w:r>
        <w:rPr>
          <w:rFonts w:ascii="Times New Roman" w:hAnsi="Times New Roman" w:eastAsia="仿宋_GB2312" w:cs="Times New Roman"/>
          <w:kern w:val="2"/>
          <w:sz w:val="32"/>
          <w:szCs w:val="32"/>
        </w:rPr>
        <w:t>;支出包括：</w:t>
      </w:r>
      <w:r>
        <w:rPr>
          <w:rFonts w:ascii="Times New Roman" w:hAnsi="Times New Roman" w:eastAsia="仿宋_GB2312" w:cs="Times New Roman"/>
          <w:color w:val="000000"/>
          <w:sz w:val="32"/>
          <w:szCs w:val="32"/>
        </w:rPr>
        <w:t>一般公共服务支出、社会保障和就业支出、卫生健康支出、住房保障支出。</w:t>
      </w:r>
    </w:p>
    <w:p>
      <w:pPr>
        <w:tabs>
          <w:tab w:val="center" w:pos="4475"/>
        </w:tabs>
        <w:spacing w:line="560" w:lineRule="exact"/>
        <w:ind w:firstLine="645"/>
        <w:rPr>
          <w:rFonts w:eastAsia="黑体"/>
          <w:b/>
          <w:bCs/>
          <w:color w:val="000000"/>
          <w:kern w:val="0"/>
          <w:sz w:val="32"/>
          <w:szCs w:val="32"/>
        </w:rPr>
      </w:pPr>
      <w:r>
        <w:rPr>
          <w:rFonts w:hAnsi="黑体" w:eastAsia="黑体"/>
          <w:b/>
          <w:bCs/>
          <w:color w:val="000000"/>
          <w:kern w:val="0"/>
          <w:sz w:val="32"/>
          <w:szCs w:val="32"/>
        </w:rPr>
        <w:t>二、单位收入预算情况说明</w:t>
      </w:r>
    </w:p>
    <w:p>
      <w:pPr>
        <w:spacing w:line="560" w:lineRule="exact"/>
        <w:ind w:firstLine="640" w:firstLineChars="200"/>
        <w:rPr>
          <w:rFonts w:eastAsia="仿宋_GB2312"/>
          <w:sz w:val="32"/>
          <w:szCs w:val="32"/>
        </w:rPr>
      </w:pPr>
      <w:r>
        <w:rPr>
          <w:rFonts w:eastAsia="仿宋_GB2312"/>
          <w:color w:val="000000"/>
          <w:sz w:val="32"/>
          <w:szCs w:val="32"/>
        </w:rPr>
        <w:t>2022年单位收入总预算205.23万元，</w:t>
      </w:r>
      <w:r>
        <w:rPr>
          <w:rFonts w:eastAsia="仿宋_GB2312"/>
          <w:sz w:val="32"/>
          <w:szCs w:val="32"/>
        </w:rPr>
        <w:t>同比增加6.91万元，同比增长3.48%。其中：</w:t>
      </w:r>
    </w:p>
    <w:p>
      <w:pPr>
        <w:spacing w:line="560" w:lineRule="exact"/>
        <w:ind w:firstLine="640" w:firstLineChars="200"/>
        <w:rPr>
          <w:rFonts w:eastAsia="仿宋_GB2312"/>
          <w:sz w:val="32"/>
          <w:szCs w:val="32"/>
        </w:rPr>
      </w:pPr>
      <w:r>
        <w:rPr>
          <w:rFonts w:eastAsia="仿宋_GB2312"/>
          <w:color w:val="000000"/>
          <w:sz w:val="32"/>
          <w:szCs w:val="32"/>
        </w:rPr>
        <w:t>一般公共财政预算拨款205.23万元，</w:t>
      </w:r>
      <w:r>
        <w:rPr>
          <w:rFonts w:eastAsia="仿宋_GB2312"/>
          <w:sz w:val="32"/>
          <w:szCs w:val="32"/>
        </w:rPr>
        <w:t>占收入总预算100%</w:t>
      </w:r>
      <w:r>
        <w:rPr>
          <w:rFonts w:hint="eastAsia" w:eastAsia="仿宋_GB2312"/>
          <w:sz w:val="32"/>
          <w:szCs w:val="32"/>
        </w:rPr>
        <w:t>，</w:t>
      </w:r>
      <w:r>
        <w:rPr>
          <w:rFonts w:eastAsia="仿宋_GB2312"/>
          <w:sz w:val="32"/>
          <w:szCs w:val="32"/>
        </w:rPr>
        <w:t>同比增加6.91万元，同比增长3.48%。</w:t>
      </w:r>
    </w:p>
    <w:p>
      <w:pPr>
        <w:spacing w:line="560" w:lineRule="exact"/>
        <w:ind w:firstLine="640" w:firstLineChars="200"/>
        <w:rPr>
          <w:rFonts w:eastAsia="仿宋_GB2312"/>
          <w:sz w:val="32"/>
          <w:szCs w:val="32"/>
        </w:rPr>
      </w:pPr>
      <w:r>
        <w:rPr>
          <w:rFonts w:eastAsia="仿宋_GB2312"/>
          <w:sz w:val="32"/>
          <w:szCs w:val="32"/>
        </w:rPr>
        <w:t>2022年收入预算总体增加主要是</w:t>
      </w:r>
      <w:r>
        <w:rPr>
          <w:rFonts w:eastAsia="仿宋_GB2312"/>
          <w:color w:val="000000"/>
          <w:sz w:val="32"/>
          <w:szCs w:val="32"/>
        </w:rPr>
        <w:t>一般公共财政预算拨款</w:t>
      </w:r>
      <w:r>
        <w:rPr>
          <w:rFonts w:eastAsia="仿宋_GB2312"/>
          <w:sz w:val="32"/>
          <w:szCs w:val="32"/>
        </w:rPr>
        <w:t>增加，增加的主要原因：公务员医疗补助缴费收入增加。</w:t>
      </w:r>
    </w:p>
    <w:p>
      <w:pPr>
        <w:tabs>
          <w:tab w:val="center" w:pos="4475"/>
        </w:tabs>
        <w:spacing w:line="560" w:lineRule="exact"/>
        <w:ind w:firstLine="645"/>
        <w:rPr>
          <w:rFonts w:eastAsia="黑体"/>
          <w:b/>
          <w:bCs/>
          <w:color w:val="000000"/>
          <w:kern w:val="0"/>
          <w:sz w:val="32"/>
          <w:szCs w:val="32"/>
        </w:rPr>
      </w:pPr>
      <w:r>
        <w:rPr>
          <w:rFonts w:hAnsi="黑体" w:eastAsia="黑体"/>
          <w:b/>
          <w:bCs/>
          <w:color w:val="000000"/>
          <w:kern w:val="0"/>
          <w:sz w:val="32"/>
          <w:szCs w:val="32"/>
        </w:rPr>
        <w:t>三、单位支出预算情况说明</w:t>
      </w:r>
    </w:p>
    <w:p>
      <w:pPr>
        <w:spacing w:line="560" w:lineRule="exact"/>
        <w:ind w:firstLine="640" w:firstLineChars="200"/>
        <w:rPr>
          <w:rFonts w:eastAsia="仿宋_GB2312"/>
          <w:strike/>
          <w:sz w:val="32"/>
          <w:szCs w:val="32"/>
        </w:rPr>
      </w:pPr>
      <w:r>
        <w:rPr>
          <w:rFonts w:eastAsia="仿宋_GB2312"/>
          <w:color w:val="000000"/>
          <w:sz w:val="32"/>
          <w:szCs w:val="32"/>
        </w:rPr>
        <w:t>2022年单位支出总预算205.23万元，基本支出预算159.21万元，占支出总预算的77.58%</w:t>
      </w:r>
      <w:r>
        <w:rPr>
          <w:rFonts w:hint="eastAsia" w:eastAsia="仿宋_GB2312"/>
          <w:color w:val="000000"/>
          <w:sz w:val="32"/>
          <w:szCs w:val="32"/>
        </w:rPr>
        <w:t>，</w:t>
      </w:r>
      <w:r>
        <w:rPr>
          <w:rFonts w:eastAsia="仿宋_GB2312"/>
          <w:sz w:val="32"/>
          <w:szCs w:val="32"/>
        </w:rPr>
        <w:t>同比增加6.91万元，同比增长4.54%。项目支出预算46.02万元，占支出总预算的22.42%</w:t>
      </w:r>
      <w:r>
        <w:rPr>
          <w:rFonts w:hint="eastAsia" w:eastAsia="仿宋_GB2312"/>
          <w:sz w:val="32"/>
          <w:szCs w:val="32"/>
        </w:rPr>
        <w:t>，</w:t>
      </w:r>
      <w:r>
        <w:rPr>
          <w:rFonts w:eastAsia="仿宋_GB2312"/>
          <w:sz w:val="32"/>
          <w:szCs w:val="32"/>
        </w:rPr>
        <w:t>同比与上年持平。</w:t>
      </w:r>
    </w:p>
    <w:p>
      <w:pPr>
        <w:pStyle w:val="5"/>
        <w:spacing w:before="0" w:beforeAutospacing="0" w:after="0" w:afterAutospacing="0" w:line="560" w:lineRule="exact"/>
        <w:ind w:firstLine="480" w:firstLineChars="15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 xml:space="preserve">（一）按支出功能分类科目划分，共分为4类，其中： </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1.</w:t>
      </w:r>
      <w:r>
        <w:rPr>
          <w:rFonts w:ascii="Times New Roman" w:hAnsi="Times New Roman" w:eastAsia="仿宋_GB2312" w:cs="Times New Roman"/>
          <w:color w:val="000000"/>
          <w:sz w:val="32"/>
          <w:szCs w:val="32"/>
        </w:rPr>
        <w:t>一般公共服务支出</w:t>
      </w:r>
      <w:r>
        <w:rPr>
          <w:rFonts w:ascii="Times New Roman" w:hAnsi="Times New Roman" w:eastAsia="仿宋_GB2312" w:cs="Times New Roman"/>
          <w:kern w:val="2"/>
          <w:sz w:val="32"/>
          <w:szCs w:val="32"/>
        </w:rPr>
        <w:t>144.22万元</w:t>
      </w:r>
      <w:r>
        <w:rPr>
          <w:rFonts w:hint="eastAsia" w:ascii="Times New Roman" w:hAnsi="Times New Roman" w:eastAsia="仿宋_GB2312" w:cs="Times New Roman"/>
          <w:kern w:val="2"/>
          <w:sz w:val="32"/>
          <w:szCs w:val="32"/>
        </w:rPr>
        <w:t>，</w:t>
      </w:r>
      <w:r>
        <w:rPr>
          <w:rFonts w:ascii="Times New Roman" w:hAnsi="Times New Roman" w:eastAsia="仿宋_GB2312" w:cs="Times New Roman"/>
          <w:kern w:val="2"/>
          <w:sz w:val="32"/>
          <w:szCs w:val="32"/>
        </w:rPr>
        <w:t>占支出总预算70.27%，同比减少5.87万元，同比下降3.91%。减少的主要原因是</w:t>
      </w:r>
      <w:r>
        <w:rPr>
          <w:rFonts w:ascii="Times New Roman" w:hAnsi="Times New Roman" w:eastAsia="仿宋_GB2312" w:cs="Times New Roman"/>
          <w:sz w:val="32"/>
          <w:szCs w:val="32"/>
        </w:rPr>
        <w:t>在编人员工资福利支出预算</w:t>
      </w:r>
      <w:r>
        <w:rPr>
          <w:rFonts w:ascii="Times New Roman" w:hAnsi="Times New Roman" w:eastAsia="仿宋_GB2312" w:cs="Times New Roman"/>
          <w:color w:val="000000"/>
          <w:sz w:val="32"/>
          <w:szCs w:val="32"/>
        </w:rPr>
        <w:t>减少</w:t>
      </w:r>
      <w:r>
        <w:rPr>
          <w:rFonts w:ascii="Times New Roman" w:hAnsi="Times New Roman" w:eastAsia="仿宋_GB2312" w:cs="Times New Roman"/>
          <w:sz w:val="32"/>
          <w:szCs w:val="32"/>
        </w:rPr>
        <w:t>。</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2.</w:t>
      </w:r>
      <w:r>
        <w:rPr>
          <w:rFonts w:ascii="Times New Roman" w:hAnsi="Times New Roman" w:eastAsia="仿宋_GB2312" w:cs="Times New Roman"/>
          <w:color w:val="000000"/>
          <w:sz w:val="32"/>
          <w:szCs w:val="32"/>
        </w:rPr>
        <w:t>社会保障和就业支出</w:t>
      </w:r>
      <w:r>
        <w:rPr>
          <w:rFonts w:ascii="Times New Roman" w:hAnsi="Times New Roman" w:eastAsia="仿宋_GB2312" w:cs="Times New Roman"/>
          <w:kern w:val="2"/>
          <w:sz w:val="32"/>
          <w:szCs w:val="32"/>
        </w:rPr>
        <w:t>30.77万元，占支出总预算14.99%，同比增加4.47万元，同比增长17%。增加的主要原因是社保增人增资费用增加。</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3.</w:t>
      </w:r>
      <w:r>
        <w:rPr>
          <w:rFonts w:ascii="Times New Roman" w:hAnsi="Times New Roman" w:eastAsia="仿宋_GB2312" w:cs="Times New Roman"/>
          <w:color w:val="000000"/>
          <w:sz w:val="32"/>
          <w:szCs w:val="32"/>
        </w:rPr>
        <w:t>卫生健康支出</w:t>
      </w:r>
      <w:r>
        <w:rPr>
          <w:rFonts w:ascii="Times New Roman" w:hAnsi="Times New Roman" w:eastAsia="仿宋_GB2312" w:cs="Times New Roman"/>
          <w:kern w:val="2"/>
          <w:sz w:val="32"/>
          <w:szCs w:val="32"/>
        </w:rPr>
        <w:t>16.61万元，占支出总预算8.09%，同比增加6.26万元，同比增长60.48%。增加的主要原因是公务员医疗补助缴费预算增加。</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4.</w:t>
      </w:r>
      <w:r>
        <w:rPr>
          <w:rFonts w:ascii="Times New Roman" w:hAnsi="Times New Roman" w:eastAsia="仿宋_GB2312" w:cs="Times New Roman"/>
          <w:color w:val="000000"/>
          <w:sz w:val="32"/>
          <w:szCs w:val="32"/>
        </w:rPr>
        <w:t>住房保障支出</w:t>
      </w:r>
      <w:r>
        <w:rPr>
          <w:rFonts w:ascii="Times New Roman" w:hAnsi="Times New Roman" w:eastAsia="仿宋_GB2312" w:cs="Times New Roman"/>
          <w:kern w:val="2"/>
          <w:sz w:val="32"/>
          <w:szCs w:val="32"/>
        </w:rPr>
        <w:t>13.63万元，占支出总预算6.64%，同比增加2.06万元，同比增长17.8%。增加的主要原因是公积金增人增资费用增加。</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（二）按支出结构分类划分，分为基本支出预算和项目支出预算。</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1.基本支出预算159.21万元，占一般公共预算拨款支出预算77.58%，同比增加6.91万元，同比增长4.54%。</w:t>
      </w:r>
    </w:p>
    <w:p>
      <w:pPr>
        <w:pStyle w:val="5"/>
        <w:tabs>
          <w:tab w:val="center" w:pos="4475"/>
        </w:tabs>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2.项目支出预算46.02万元；占支出总预算22.42%，同比上年持平。</w:t>
      </w:r>
    </w:p>
    <w:p>
      <w:pPr>
        <w:spacing w:line="560" w:lineRule="exact"/>
        <w:ind w:firstLine="640" w:firstLineChars="200"/>
        <w:rPr>
          <w:rFonts w:eastAsia="仿宋_GB2312"/>
          <w:sz w:val="32"/>
          <w:szCs w:val="32"/>
        </w:rPr>
      </w:pPr>
      <w:r>
        <w:rPr>
          <w:rFonts w:eastAsia="仿宋_GB2312"/>
          <w:sz w:val="32"/>
          <w:szCs w:val="32"/>
        </w:rPr>
        <w:t>2022年支出预算总体增加主要是基本支出预算增加，增加的主要原因：公务员医疗补助缴费支出增加。</w:t>
      </w:r>
    </w:p>
    <w:p>
      <w:pPr>
        <w:spacing w:line="560" w:lineRule="exact"/>
        <w:ind w:firstLine="643" w:firstLineChars="200"/>
        <w:rPr>
          <w:rFonts w:eastAsia="黑体"/>
          <w:b/>
          <w:bCs/>
          <w:color w:val="000000"/>
          <w:kern w:val="0"/>
          <w:sz w:val="32"/>
          <w:szCs w:val="32"/>
        </w:rPr>
      </w:pPr>
      <w:r>
        <w:rPr>
          <w:rFonts w:hAnsi="黑体" w:eastAsia="黑体"/>
          <w:b/>
          <w:bCs/>
          <w:color w:val="000000"/>
          <w:kern w:val="0"/>
          <w:sz w:val="32"/>
          <w:szCs w:val="32"/>
        </w:rPr>
        <w:t>四、财政拨款收支预算情况说明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strike/>
          <w:kern w:val="2"/>
          <w:sz w:val="32"/>
          <w:szCs w:val="32"/>
        </w:rPr>
      </w:pPr>
      <w:r>
        <w:rPr>
          <w:rFonts w:ascii="Times New Roman" w:hAnsi="Times New Roman" w:eastAsia="仿宋_GB2312" w:cs="Times New Roman"/>
          <w:kern w:val="2"/>
          <w:sz w:val="32"/>
          <w:szCs w:val="32"/>
        </w:rPr>
        <w:t>2022年单位财政拨款收支总预算205.23万元， 收入包括：一般公共预算拨款205.23万元</w:t>
      </w:r>
      <w:r>
        <w:rPr>
          <w:rFonts w:hint="eastAsia" w:ascii="Times New Roman" w:hAnsi="Times New Roman" w:eastAsia="仿宋_GB2312" w:cs="Times New Roman"/>
          <w:kern w:val="2"/>
          <w:sz w:val="32"/>
          <w:szCs w:val="32"/>
        </w:rPr>
        <w:t>；</w:t>
      </w:r>
      <w:r>
        <w:rPr>
          <w:rFonts w:ascii="Times New Roman" w:hAnsi="Times New Roman" w:eastAsia="仿宋_GB2312" w:cs="Times New Roman"/>
          <w:kern w:val="2"/>
          <w:sz w:val="32"/>
          <w:szCs w:val="32"/>
        </w:rPr>
        <w:t>支出包括：一般公共服务支出144.22万元，社会保障和就业支出30.77万元，卫生健康支出16.61万元，住房保障支出13.63万元。</w:t>
      </w:r>
    </w:p>
    <w:p>
      <w:pPr>
        <w:pStyle w:val="5"/>
        <w:spacing w:before="0" w:beforeAutospacing="0" w:after="0" w:afterAutospacing="0" w:line="560" w:lineRule="exact"/>
        <w:ind w:firstLine="643" w:firstLineChars="200"/>
        <w:jc w:val="both"/>
        <w:rPr>
          <w:rFonts w:ascii="Times New Roman" w:hAnsi="Times New Roman" w:eastAsia="黑体" w:cs="Times New Roman"/>
          <w:b/>
          <w:bCs/>
          <w:color w:val="000000"/>
          <w:sz w:val="32"/>
          <w:szCs w:val="32"/>
        </w:rPr>
      </w:pPr>
      <w:r>
        <w:rPr>
          <w:rFonts w:ascii="Times New Roman" w:hAnsi="黑体" w:eastAsia="黑体" w:cs="Times New Roman"/>
          <w:b/>
          <w:bCs/>
          <w:color w:val="000000"/>
          <w:sz w:val="32"/>
          <w:szCs w:val="32"/>
        </w:rPr>
        <w:t>五、一般公共预算支出情况说明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2022年单位一般公共预算拨款支出205.23万元，其中：基本支出159.21万元，项目支出46.02万元，具体支出预算如下：</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（一）行政运行98.2万元，其中：基本支出预算98.2万元，全部为基本支出。主要用于</w:t>
      </w:r>
      <w:r>
        <w:rPr>
          <w:rFonts w:ascii="Times New Roman" w:hAnsi="Times New Roman" w:eastAsia="仿宋_GB2312" w:cs="Times New Roman"/>
          <w:sz w:val="32"/>
          <w:szCs w:val="32"/>
        </w:rPr>
        <w:t>人员工资及日常公用经费。</w:t>
      </w:r>
    </w:p>
    <w:p>
      <w:pPr>
        <w:pStyle w:val="5"/>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kern w:val="2"/>
          <w:sz w:val="32"/>
          <w:szCs w:val="32"/>
        </w:rPr>
        <w:t>（二）其他组织事务支出46.02万元，其中：项目支出预算46.02万元，全部为项目支出。主要用于</w:t>
      </w:r>
      <w:r>
        <w:rPr>
          <w:rFonts w:ascii="Times New Roman" w:hAnsi="Times New Roman" w:eastAsia="仿宋_GB2312" w:cs="Times New Roman"/>
          <w:sz w:val="32"/>
          <w:szCs w:val="32"/>
        </w:rPr>
        <w:t>科室日常业务经费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pPr>
        <w:pStyle w:val="5"/>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kern w:val="2"/>
          <w:sz w:val="32"/>
          <w:szCs w:val="32"/>
        </w:rPr>
        <w:t>（三）行政单位离退休3.52万元，其中：基本支出预算3.52万元，全部为基本支出。主要用于</w:t>
      </w:r>
      <w:r>
        <w:rPr>
          <w:rFonts w:ascii="Times New Roman" w:hAnsi="Times New Roman" w:eastAsia="仿宋_GB2312" w:cs="Times New Roman"/>
          <w:sz w:val="32"/>
          <w:szCs w:val="32"/>
        </w:rPr>
        <w:t>退休人员生活补助及退休公用经费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sz w:val="32"/>
          <w:szCs w:val="32"/>
        </w:rPr>
        <w:t>（四）</w:t>
      </w:r>
      <w:r>
        <w:rPr>
          <w:rFonts w:ascii="Times New Roman" w:hAnsi="Times New Roman" w:eastAsia="仿宋_GB2312" w:cs="Times New Roman"/>
          <w:kern w:val="2"/>
          <w:sz w:val="32"/>
          <w:szCs w:val="32"/>
        </w:rPr>
        <w:t>机关事业单位基本养老保险缴费支出18.17万元，其中：基本支出预算18.17万元，全部为基本支出。主要用于</w:t>
      </w:r>
      <w:r>
        <w:rPr>
          <w:rFonts w:ascii="Times New Roman" w:hAnsi="Times New Roman" w:eastAsia="仿宋_GB2312" w:cs="Times New Roman"/>
          <w:sz w:val="32"/>
          <w:szCs w:val="32"/>
        </w:rPr>
        <w:t>养老保险缴费支出。</w:t>
      </w:r>
    </w:p>
    <w:p>
      <w:pPr>
        <w:pStyle w:val="5"/>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kern w:val="2"/>
          <w:sz w:val="32"/>
          <w:szCs w:val="32"/>
        </w:rPr>
        <w:t>（五）机关事业单位职业年金缴费支出9.08万元，其中：基本支出预算9.08万元，全部为基本支出。主要用于</w:t>
      </w:r>
      <w:r>
        <w:rPr>
          <w:rFonts w:ascii="Times New Roman" w:hAnsi="Times New Roman" w:eastAsia="仿宋_GB2312" w:cs="Times New Roman"/>
          <w:sz w:val="32"/>
          <w:szCs w:val="32"/>
        </w:rPr>
        <w:t>职业年金缴费支出。</w:t>
      </w:r>
    </w:p>
    <w:p>
      <w:pPr>
        <w:pStyle w:val="5"/>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（六）</w:t>
      </w:r>
      <w:r>
        <w:rPr>
          <w:rFonts w:ascii="Times New Roman" w:hAnsi="Times New Roman" w:eastAsia="仿宋_GB2312" w:cs="Times New Roman"/>
          <w:kern w:val="2"/>
          <w:sz w:val="32"/>
          <w:szCs w:val="32"/>
        </w:rPr>
        <w:t>行政单位医疗8.86万元，其中：基本支出预算8.86万元，全部为基本支出。主要用于</w:t>
      </w:r>
      <w:r>
        <w:rPr>
          <w:rFonts w:ascii="Times New Roman" w:hAnsi="Times New Roman" w:eastAsia="仿宋_GB2312" w:cs="Times New Roman"/>
          <w:sz w:val="32"/>
          <w:szCs w:val="32"/>
        </w:rPr>
        <w:t>医疗保险缴费支出。</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sz w:val="32"/>
          <w:szCs w:val="32"/>
        </w:rPr>
        <w:t>（七）</w:t>
      </w:r>
      <w:r>
        <w:rPr>
          <w:rFonts w:ascii="Times New Roman" w:hAnsi="Times New Roman" w:eastAsia="仿宋_GB2312" w:cs="Times New Roman"/>
          <w:kern w:val="2"/>
          <w:sz w:val="32"/>
          <w:szCs w:val="32"/>
        </w:rPr>
        <w:t>公务员医疗补助7.75万元，其中：基本支出预算7.75万元，全部为基本支出。主要用于</w:t>
      </w:r>
      <w:r>
        <w:rPr>
          <w:rFonts w:ascii="Times New Roman" w:hAnsi="Times New Roman" w:eastAsia="仿宋_GB2312" w:cs="Times New Roman"/>
          <w:sz w:val="32"/>
          <w:szCs w:val="32"/>
        </w:rPr>
        <w:t>公务员医疗补助缴费支出。</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（八）住房公积金13.63万元，其中：基本支出预算13.63万元，全部为基本支出。主要用于</w:t>
      </w:r>
      <w:r>
        <w:rPr>
          <w:rFonts w:ascii="Times New Roman" w:hAnsi="Times New Roman" w:eastAsia="仿宋_GB2312" w:cs="Times New Roman"/>
          <w:sz w:val="32"/>
          <w:szCs w:val="32"/>
        </w:rPr>
        <w:t>公积金缴费支出。</w:t>
      </w:r>
    </w:p>
    <w:p>
      <w:pPr>
        <w:tabs>
          <w:tab w:val="center" w:pos="4475"/>
        </w:tabs>
        <w:spacing w:line="560" w:lineRule="exact"/>
        <w:ind w:firstLine="645"/>
        <w:rPr>
          <w:rFonts w:eastAsia="黑体"/>
          <w:b/>
          <w:bCs/>
          <w:color w:val="000000"/>
          <w:kern w:val="0"/>
          <w:sz w:val="32"/>
          <w:szCs w:val="32"/>
        </w:rPr>
      </w:pPr>
      <w:r>
        <w:rPr>
          <w:rFonts w:hAnsi="黑体" w:eastAsia="黑体"/>
          <w:b/>
          <w:bCs/>
          <w:color w:val="000000"/>
          <w:kern w:val="0"/>
          <w:sz w:val="32"/>
          <w:szCs w:val="32"/>
        </w:rPr>
        <w:t>六、一般公共预算基本支出情况说明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2022年单位一般公共预算基本支出159.21万元，其中：</w:t>
      </w:r>
    </w:p>
    <w:p>
      <w:pPr>
        <w:pStyle w:val="5"/>
        <w:spacing w:before="0" w:beforeAutospacing="0" w:after="0" w:afterAutospacing="0" w:line="560" w:lineRule="exact"/>
        <w:ind w:firstLine="640" w:firstLineChars="200"/>
        <w:jc w:val="both"/>
        <w:rPr>
          <w:rFonts w:ascii="Times New Roman" w:hAnsi="Times New Roman" w:eastAsia="仿宋_GB2312" w:cs="Times New Roman"/>
          <w:bCs/>
          <w:strike/>
          <w:sz w:val="32"/>
          <w:szCs w:val="32"/>
        </w:rPr>
      </w:pPr>
      <w:r>
        <w:rPr>
          <w:rFonts w:ascii="Times New Roman" w:hAnsi="Times New Roman" w:eastAsia="仿宋_GB2312" w:cs="Times New Roman"/>
          <w:kern w:val="2"/>
          <w:sz w:val="32"/>
          <w:szCs w:val="32"/>
        </w:rPr>
        <w:t>（一）人员经费137.33万元，主要包括：基本工资、津贴补贴、奖金、机关事业单位基本养老保险缴费、职业年金缴费、职工基本医疗保险缴费、公务员医疗补助缴费、其他社会保障缴费、住房公积金、其他工资福利支出、退休费、其他对个人和家庭的补助。</w:t>
      </w:r>
    </w:p>
    <w:p>
      <w:pPr>
        <w:adjustRightInd w:val="0"/>
        <w:snapToGrid w:val="0"/>
        <w:spacing w:line="560" w:lineRule="exact"/>
        <w:ind w:right="-218" w:rightChars="-104" w:firstLine="640" w:firstLineChars="200"/>
        <w:rPr>
          <w:rFonts w:eastAsia="仿宋_GB2312"/>
          <w:strike/>
          <w:sz w:val="32"/>
          <w:szCs w:val="32"/>
          <w:highlight w:val="cyan"/>
        </w:rPr>
      </w:pPr>
      <w:r>
        <w:rPr>
          <w:rFonts w:eastAsia="仿宋_GB2312"/>
          <w:sz w:val="32"/>
          <w:szCs w:val="32"/>
        </w:rPr>
        <w:t>（二）公用经费21.88万元，主要包括：办公费、印刷费、水费、电费、邮电费、物业管理费、差旅费、维修(护)费、会议费、培训费、公务接待费、工会经费、福利费、其他交通费用、其他商品和服务支出。</w:t>
      </w:r>
    </w:p>
    <w:p>
      <w:pPr>
        <w:tabs>
          <w:tab w:val="center" w:pos="4475"/>
        </w:tabs>
        <w:adjustRightInd w:val="0"/>
        <w:snapToGrid w:val="0"/>
        <w:spacing w:line="560" w:lineRule="exact"/>
        <w:ind w:right="-218" w:rightChars="-104" w:firstLine="643" w:firstLineChars="200"/>
        <w:rPr>
          <w:rFonts w:hAnsi="黑体" w:eastAsia="黑体"/>
          <w:b/>
          <w:bCs/>
          <w:color w:val="000000"/>
          <w:kern w:val="0"/>
          <w:sz w:val="32"/>
          <w:szCs w:val="32"/>
        </w:rPr>
      </w:pPr>
      <w:r>
        <w:rPr>
          <w:rFonts w:hAnsi="黑体" w:eastAsia="黑体"/>
          <w:b/>
          <w:bCs/>
          <w:color w:val="000000"/>
          <w:kern w:val="0"/>
          <w:sz w:val="32"/>
          <w:szCs w:val="32"/>
        </w:rPr>
        <w:t>七、一般公共预算</w:t>
      </w:r>
      <w:r>
        <w:rPr>
          <w:rFonts w:eastAsia="黑体"/>
          <w:b/>
          <w:bCs/>
          <w:color w:val="000000"/>
          <w:kern w:val="0"/>
          <w:sz w:val="32"/>
          <w:szCs w:val="32"/>
        </w:rPr>
        <w:t>“</w:t>
      </w:r>
      <w:r>
        <w:rPr>
          <w:rFonts w:hAnsi="黑体" w:eastAsia="黑体"/>
          <w:b/>
          <w:bCs/>
          <w:color w:val="000000"/>
          <w:kern w:val="0"/>
          <w:sz w:val="32"/>
          <w:szCs w:val="32"/>
        </w:rPr>
        <w:t>三公</w:t>
      </w:r>
      <w:r>
        <w:rPr>
          <w:rFonts w:eastAsia="黑体"/>
          <w:b/>
          <w:bCs/>
          <w:color w:val="000000"/>
          <w:kern w:val="0"/>
          <w:sz w:val="32"/>
          <w:szCs w:val="32"/>
        </w:rPr>
        <w:t>”</w:t>
      </w:r>
      <w:r>
        <w:rPr>
          <w:rFonts w:hAnsi="黑体" w:eastAsia="黑体"/>
          <w:b/>
          <w:bCs/>
          <w:color w:val="000000"/>
          <w:kern w:val="0"/>
          <w:sz w:val="32"/>
          <w:szCs w:val="32"/>
        </w:rPr>
        <w:t>经费情况说明</w:t>
      </w:r>
    </w:p>
    <w:p>
      <w:pPr>
        <w:tabs>
          <w:tab w:val="center" w:pos="4475"/>
        </w:tabs>
        <w:adjustRightInd w:val="0"/>
        <w:snapToGrid w:val="0"/>
        <w:spacing w:line="560" w:lineRule="exact"/>
        <w:ind w:right="-218" w:rightChars="-104" w:firstLine="640" w:firstLineChars="200"/>
        <w:rPr>
          <w:rFonts w:eastAsia="黑体"/>
          <w:b/>
          <w:bCs/>
          <w:color w:val="000000"/>
          <w:kern w:val="0"/>
          <w:sz w:val="32"/>
          <w:szCs w:val="32"/>
        </w:rPr>
      </w:pPr>
      <w:r>
        <w:rPr>
          <w:rFonts w:eastAsia="仿宋_GB2312"/>
          <w:bCs/>
          <w:color w:val="000000"/>
          <w:sz w:val="32"/>
          <w:szCs w:val="32"/>
        </w:rPr>
        <w:t>2022年一般公共预算安排的“三公”经费支出预算0.28万元，比2021 年预算1.27万元，同比减少0.99万元，同比下降77.95%。其中：</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kern w:val="2"/>
          <w:sz w:val="32"/>
          <w:szCs w:val="32"/>
        </w:rPr>
        <w:t>（一）</w:t>
      </w:r>
      <w:r>
        <w:rPr>
          <w:rFonts w:ascii="Times New Roman" w:hAnsi="Times New Roman" w:eastAsia="仿宋_GB2312" w:cs="Times New Roman"/>
          <w:bCs/>
          <w:color w:val="000000"/>
          <w:sz w:val="32"/>
          <w:szCs w:val="32"/>
        </w:rPr>
        <w:t>因公出国（境）经费2022年预算0万元，同比上年持平。</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kern w:val="2"/>
          <w:sz w:val="32"/>
          <w:szCs w:val="32"/>
        </w:rPr>
        <w:t>（二）</w:t>
      </w:r>
      <w:r>
        <w:rPr>
          <w:rFonts w:ascii="Times New Roman" w:hAnsi="Times New Roman" w:eastAsia="仿宋_GB2312" w:cs="Times New Roman"/>
          <w:bCs/>
          <w:color w:val="000000"/>
          <w:sz w:val="32"/>
          <w:szCs w:val="32"/>
        </w:rPr>
        <w:t>公务接待费2022年预算0.28万元，同比减少0.99万元，同比下降77.95%，减少原因：</w:t>
      </w:r>
      <w:r>
        <w:rPr>
          <w:rFonts w:hint="eastAsia" w:ascii="Times New Roman" w:hAnsi="Times New Roman" w:eastAsia="仿宋_GB2312" w:cs="Times New Roman"/>
          <w:bCs/>
          <w:color w:val="000000"/>
          <w:sz w:val="32"/>
          <w:szCs w:val="32"/>
          <w:lang w:eastAsia="zh-CN"/>
        </w:rPr>
        <w:t>厉行节约</w:t>
      </w:r>
      <w:r>
        <w:rPr>
          <w:rFonts w:ascii="Times New Roman" w:hAnsi="Times New Roman" w:eastAsia="仿宋_GB2312" w:cs="Times New Roman"/>
          <w:bCs/>
          <w:color w:val="000000"/>
          <w:sz w:val="32"/>
          <w:szCs w:val="32"/>
        </w:rPr>
        <w:t xml:space="preserve">，严控“三公”经费增长。主要用于支付外来单位接待费用。                                           </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sz w:val="32"/>
          <w:szCs w:val="32"/>
        </w:rPr>
        <w:t>（三）</w:t>
      </w:r>
      <w:r>
        <w:rPr>
          <w:rFonts w:ascii="Times New Roman" w:hAnsi="Times New Roman" w:eastAsia="仿宋_GB2312" w:cs="Times New Roman"/>
          <w:bCs/>
          <w:color w:val="000000"/>
          <w:sz w:val="32"/>
          <w:szCs w:val="32"/>
        </w:rPr>
        <w:t>公务用车购置及运行费2022年预算0万元，同比上年持平，其中：</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1.公务用车购置费2021年预算0万元，同比2022年预算持平。</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ascii="Times New Roman" w:hAnsi="Times New Roman" w:eastAsia="仿宋_GB2312" w:cs="Times New Roman"/>
          <w:bCs/>
          <w:color w:val="000000"/>
          <w:sz w:val="32"/>
          <w:szCs w:val="32"/>
        </w:rPr>
        <w:t>2.公务用车运行维护费2021年预算0万元，同比2022年预算持平。</w:t>
      </w:r>
    </w:p>
    <w:p>
      <w:pPr>
        <w:pStyle w:val="5"/>
        <w:spacing w:before="0" w:beforeAutospacing="0" w:after="0" w:afterAutospacing="0" w:line="560" w:lineRule="exact"/>
        <w:ind w:firstLine="643" w:firstLineChars="200"/>
        <w:jc w:val="both"/>
        <w:rPr>
          <w:rFonts w:ascii="Times New Roman" w:hAnsi="Times New Roman" w:eastAsia="黑体" w:cs="Times New Roman"/>
          <w:b/>
          <w:bCs/>
          <w:color w:val="000000"/>
          <w:sz w:val="32"/>
          <w:szCs w:val="32"/>
        </w:rPr>
      </w:pPr>
      <w:r>
        <w:rPr>
          <w:rFonts w:ascii="Times New Roman" w:hAnsi="黑体" w:eastAsia="黑体" w:cs="Times New Roman"/>
          <w:b/>
          <w:bCs/>
          <w:color w:val="000000"/>
          <w:sz w:val="32"/>
          <w:szCs w:val="32"/>
        </w:rPr>
        <w:t>八、政府性基金预算情况说明</w:t>
      </w:r>
    </w:p>
    <w:p>
      <w:pPr>
        <w:tabs>
          <w:tab w:val="center" w:pos="4475"/>
        </w:tabs>
        <w:spacing w:line="560" w:lineRule="exact"/>
        <w:ind w:firstLine="640" w:firstLineChars="200"/>
        <w:rPr>
          <w:rFonts w:eastAsia="仿宋_GB2312"/>
          <w:sz w:val="32"/>
          <w:szCs w:val="32"/>
        </w:rPr>
      </w:pPr>
      <w:r>
        <w:rPr>
          <w:rFonts w:eastAsia="仿宋_GB2312"/>
          <w:sz w:val="32"/>
          <w:szCs w:val="32"/>
        </w:rPr>
        <w:t>2022年本单位无政府性基金预算支出安排。</w:t>
      </w:r>
    </w:p>
    <w:p>
      <w:pPr>
        <w:tabs>
          <w:tab w:val="center" w:pos="4475"/>
        </w:tabs>
        <w:spacing w:line="560" w:lineRule="exact"/>
        <w:ind w:firstLine="643" w:firstLineChars="200"/>
        <w:rPr>
          <w:rFonts w:eastAsia="黑体"/>
          <w:b/>
          <w:bCs/>
          <w:color w:val="000000"/>
          <w:kern w:val="0"/>
          <w:sz w:val="32"/>
          <w:szCs w:val="32"/>
        </w:rPr>
      </w:pPr>
      <w:r>
        <w:rPr>
          <w:rFonts w:hAnsi="黑体" w:eastAsia="黑体"/>
          <w:b/>
          <w:bCs/>
          <w:color w:val="000000"/>
          <w:kern w:val="0"/>
          <w:sz w:val="32"/>
          <w:szCs w:val="32"/>
        </w:rPr>
        <w:t>九、国有资本经营预算情况说明</w:t>
      </w:r>
    </w:p>
    <w:p>
      <w:pPr>
        <w:tabs>
          <w:tab w:val="center" w:pos="4475"/>
        </w:tabs>
        <w:spacing w:line="560" w:lineRule="exact"/>
        <w:ind w:firstLine="640" w:firstLineChars="200"/>
        <w:rPr>
          <w:rFonts w:eastAsia="仿宋_GB2312"/>
          <w:sz w:val="32"/>
          <w:szCs w:val="32"/>
        </w:rPr>
      </w:pPr>
      <w:r>
        <w:rPr>
          <w:rFonts w:eastAsia="仿宋_GB2312"/>
          <w:sz w:val="32"/>
          <w:szCs w:val="32"/>
        </w:rPr>
        <w:t>2022年本单位无国有资本经营预算支出安排。</w:t>
      </w:r>
    </w:p>
    <w:p>
      <w:pPr>
        <w:tabs>
          <w:tab w:val="center" w:pos="4475"/>
        </w:tabs>
        <w:spacing w:line="560" w:lineRule="exact"/>
        <w:ind w:firstLine="643" w:firstLineChars="200"/>
        <w:rPr>
          <w:rFonts w:eastAsia="黑体"/>
          <w:b/>
          <w:bCs/>
          <w:color w:val="000000"/>
          <w:kern w:val="0"/>
          <w:sz w:val="32"/>
          <w:szCs w:val="32"/>
        </w:rPr>
      </w:pPr>
      <w:r>
        <w:rPr>
          <w:rFonts w:hAnsi="黑体" w:eastAsia="黑体"/>
          <w:b/>
          <w:bCs/>
          <w:color w:val="000000"/>
          <w:kern w:val="0"/>
          <w:sz w:val="32"/>
          <w:szCs w:val="32"/>
        </w:rPr>
        <w:t>十、政府采购预算情况说明</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2022年政府采购预算0.5万元，同比减少0.7万元，下降58.33%。</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（一）按政府采购项目类型划分</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政府集中采购预算0.5万元,占政府采购预算的100%，同比减少0.7万元，下降58.33%。</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分散采购预算0万元，占政府采购预算的0%，同比上年持平。</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按政府采购项目类型分为货物类采购、工程类采购和服务类采购三种类型。货物类采购预算0万元，工程类采购预算0万元，服务类采购0.5万元。</w:t>
      </w:r>
    </w:p>
    <w:p>
      <w:pPr>
        <w:spacing w:line="560" w:lineRule="exact"/>
        <w:ind w:firstLine="640" w:firstLineChars="200"/>
        <w:rPr>
          <w:rFonts w:eastAsia="仿宋_GB2312"/>
          <w:sz w:val="32"/>
          <w:szCs w:val="32"/>
        </w:rPr>
      </w:pPr>
      <w:r>
        <w:rPr>
          <w:rFonts w:eastAsia="仿宋_GB2312"/>
          <w:bCs/>
          <w:color w:val="000000"/>
          <w:kern w:val="0"/>
          <w:sz w:val="32"/>
          <w:szCs w:val="32"/>
        </w:rPr>
        <w:t>（二）</w:t>
      </w:r>
      <w:r>
        <w:rPr>
          <w:rFonts w:eastAsia="仿宋_GB2312"/>
          <w:sz w:val="32"/>
          <w:szCs w:val="32"/>
        </w:rPr>
        <w:t>按政府采购资金来源划分</w:t>
      </w:r>
    </w:p>
    <w:p>
      <w:pPr>
        <w:spacing w:line="560" w:lineRule="exact"/>
        <w:ind w:firstLine="640" w:firstLineChars="200"/>
        <w:rPr>
          <w:rFonts w:eastAsia="仿宋_GB2312"/>
          <w:sz w:val="32"/>
          <w:szCs w:val="32"/>
        </w:rPr>
      </w:pPr>
      <w:r>
        <w:rPr>
          <w:rFonts w:eastAsia="仿宋_GB2312"/>
          <w:sz w:val="32"/>
          <w:szCs w:val="32"/>
        </w:rPr>
        <w:t>通过一般公共预算安排采购支出预算0.5万元。</w:t>
      </w:r>
    </w:p>
    <w:p>
      <w:pPr>
        <w:tabs>
          <w:tab w:val="center" w:pos="4475"/>
        </w:tabs>
        <w:spacing w:line="560" w:lineRule="exact"/>
        <w:ind w:firstLine="643" w:firstLineChars="200"/>
        <w:rPr>
          <w:rFonts w:eastAsia="黑体"/>
          <w:b/>
          <w:bCs/>
          <w:color w:val="000000"/>
          <w:kern w:val="0"/>
          <w:sz w:val="32"/>
          <w:szCs w:val="32"/>
        </w:rPr>
      </w:pPr>
      <w:r>
        <w:rPr>
          <w:rFonts w:hAnsi="黑体" w:eastAsia="黑体"/>
          <w:b/>
          <w:bCs/>
          <w:color w:val="000000"/>
          <w:kern w:val="0"/>
          <w:sz w:val="32"/>
          <w:szCs w:val="32"/>
        </w:rPr>
        <w:t>十一、政府购买服务预算情况说明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2022年本单位无政府购买服务预算。</w:t>
      </w:r>
    </w:p>
    <w:p>
      <w:pPr>
        <w:pStyle w:val="5"/>
        <w:spacing w:before="0" w:beforeAutospacing="0" w:after="0" w:afterAutospacing="0" w:line="560" w:lineRule="exact"/>
        <w:ind w:firstLine="643" w:firstLineChars="200"/>
        <w:jc w:val="both"/>
        <w:rPr>
          <w:rFonts w:ascii="Times New Roman" w:hAnsi="Times New Roman" w:eastAsia="黑体" w:cs="Times New Roman"/>
          <w:b/>
          <w:bCs/>
          <w:color w:val="000000"/>
          <w:sz w:val="32"/>
          <w:szCs w:val="32"/>
        </w:rPr>
      </w:pPr>
      <w:r>
        <w:rPr>
          <w:rFonts w:ascii="Times New Roman" w:hAnsi="黑体" w:eastAsia="黑体" w:cs="Times New Roman"/>
          <w:b/>
          <w:bCs/>
          <w:color w:val="000000"/>
          <w:sz w:val="32"/>
          <w:szCs w:val="32"/>
        </w:rPr>
        <w:t>十二、</w:t>
      </w:r>
      <w:r>
        <w:rPr>
          <w:rFonts w:ascii="Times New Roman" w:hAnsi="Times New Roman" w:eastAsia="黑体" w:cs="Times New Roman"/>
          <w:b/>
          <w:bCs/>
          <w:color w:val="000000"/>
          <w:sz w:val="32"/>
          <w:szCs w:val="32"/>
        </w:rPr>
        <w:t>2022</w:t>
      </w:r>
      <w:r>
        <w:rPr>
          <w:rFonts w:ascii="Times New Roman" w:hAnsi="黑体" w:eastAsia="黑体" w:cs="Times New Roman"/>
          <w:b/>
          <w:bCs/>
          <w:color w:val="000000"/>
          <w:sz w:val="32"/>
          <w:szCs w:val="32"/>
        </w:rPr>
        <w:t>年单位预算其他</w:t>
      </w:r>
      <w:r>
        <w:rPr>
          <w:rFonts w:ascii="Times New Roman" w:hAnsi="黑体" w:eastAsia="黑体" w:cs="Times New Roman"/>
          <w:b/>
          <w:bCs/>
          <w:strike/>
          <w:color w:val="000000"/>
          <w:sz w:val="32"/>
          <w:szCs w:val="32"/>
        </w:rPr>
        <w:t>重要</w:t>
      </w:r>
      <w:r>
        <w:rPr>
          <w:rFonts w:ascii="Times New Roman" w:hAnsi="黑体" w:eastAsia="黑体" w:cs="Times New Roman"/>
          <w:b/>
          <w:bCs/>
          <w:color w:val="000000"/>
          <w:sz w:val="32"/>
          <w:szCs w:val="32"/>
        </w:rPr>
        <w:t>事项情况说明</w:t>
      </w:r>
    </w:p>
    <w:p>
      <w:pPr>
        <w:tabs>
          <w:tab w:val="center" w:pos="4475"/>
        </w:tabs>
        <w:spacing w:line="560" w:lineRule="exact"/>
        <w:ind w:firstLine="645"/>
        <w:rPr>
          <w:rFonts w:eastAsia="仿宋_GB2312"/>
          <w:sz w:val="32"/>
          <w:szCs w:val="32"/>
          <w:highlight w:val="cyan"/>
        </w:rPr>
      </w:pPr>
      <w:r>
        <w:rPr>
          <w:rFonts w:eastAsia="楷体_GB2312"/>
          <w:b/>
          <w:color w:val="000000"/>
          <w:sz w:val="32"/>
          <w:szCs w:val="32"/>
        </w:rPr>
        <w:t>（一）机关运行经费安排情况说明</w:t>
      </w:r>
    </w:p>
    <w:p>
      <w:pPr>
        <w:spacing w:line="560" w:lineRule="exact"/>
        <w:ind w:firstLine="640" w:firstLineChars="200"/>
        <w:rPr>
          <w:rFonts w:eastAsia="仿宋_GB2312"/>
          <w:bCs/>
          <w:color w:val="000000"/>
          <w:kern w:val="0"/>
          <w:sz w:val="32"/>
          <w:szCs w:val="32"/>
        </w:rPr>
      </w:pPr>
      <w:r>
        <w:rPr>
          <w:rFonts w:eastAsia="仿宋_GB2312"/>
          <w:bCs/>
          <w:color w:val="000000"/>
          <w:kern w:val="0"/>
          <w:sz w:val="32"/>
          <w:szCs w:val="32"/>
        </w:rPr>
        <w:t>2022年行政运行预算12.24万元，同比减少2.1万元，同比下降14.64%，主要用于保障单位运行购买货物和服务。行政运行经费减少的原因:由于在编人员减少，公用经费减少。</w:t>
      </w:r>
    </w:p>
    <w:p>
      <w:pPr>
        <w:pStyle w:val="5"/>
        <w:spacing w:before="0" w:beforeAutospacing="0" w:after="0" w:afterAutospacing="0" w:line="560" w:lineRule="exact"/>
        <w:ind w:firstLine="643" w:firstLineChars="200"/>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（二）国有资产占用情况说明</w:t>
      </w:r>
    </w:p>
    <w:p>
      <w:pPr>
        <w:tabs>
          <w:tab w:val="center" w:pos="4475"/>
        </w:tabs>
        <w:spacing w:line="560" w:lineRule="exact"/>
        <w:ind w:firstLine="645"/>
        <w:rPr>
          <w:rFonts w:eastAsia="仿宋_GB2312"/>
          <w:sz w:val="32"/>
          <w:szCs w:val="32"/>
        </w:rPr>
      </w:pPr>
      <w:r>
        <w:rPr>
          <w:rFonts w:eastAsia="仿宋_GB2312"/>
          <w:sz w:val="32"/>
          <w:szCs w:val="32"/>
        </w:rPr>
        <w:t>2022年本单位无国有资产占用情况。</w:t>
      </w:r>
    </w:p>
    <w:p>
      <w:pPr>
        <w:tabs>
          <w:tab w:val="center" w:pos="4475"/>
        </w:tabs>
        <w:spacing w:line="560" w:lineRule="exact"/>
        <w:ind w:firstLine="645"/>
        <w:rPr>
          <w:rFonts w:eastAsia="楷体_GB2312"/>
          <w:b/>
          <w:color w:val="000000"/>
          <w:sz w:val="32"/>
          <w:szCs w:val="32"/>
        </w:rPr>
      </w:pPr>
      <w:r>
        <w:rPr>
          <w:rFonts w:eastAsia="楷体_GB2312"/>
          <w:b/>
          <w:color w:val="000000"/>
          <w:sz w:val="32"/>
          <w:szCs w:val="32"/>
        </w:rPr>
        <w:t>（三）200万元以上项目预算绩效情况说明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2022年本单位无</w:t>
      </w:r>
      <w:r>
        <w:rPr>
          <w:rFonts w:ascii="Times New Roman" w:hAnsi="Times New Roman" w:eastAsia="仿宋_GB2312" w:cs="Times New Roman"/>
          <w:color w:val="000000"/>
          <w:sz w:val="32"/>
          <w:szCs w:val="32"/>
        </w:rPr>
        <w:t>200万元以上项目预算</w:t>
      </w:r>
      <w:r>
        <w:rPr>
          <w:rFonts w:ascii="Times New Roman" w:hAnsi="Times New Roman" w:eastAsia="仿宋_GB2312" w:cs="Times New Roman"/>
          <w:sz w:val="32"/>
          <w:szCs w:val="32"/>
        </w:rPr>
        <w:t>情况。</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p>
    <w:p>
      <w:pPr>
        <w:adjustRightInd w:val="0"/>
        <w:snapToGrid w:val="0"/>
        <w:spacing w:line="560" w:lineRule="exact"/>
        <w:ind w:right="-218" w:rightChars="-104"/>
        <w:jc w:val="center"/>
        <w:rPr>
          <w:rStyle w:val="8"/>
          <w:rFonts w:eastAsia="仿宋_GB2312"/>
          <w:color w:val="000000"/>
          <w:sz w:val="32"/>
          <w:szCs w:val="32"/>
        </w:rPr>
      </w:pPr>
      <w:r>
        <w:rPr>
          <w:rStyle w:val="8"/>
          <w:rFonts w:eastAsia="仿宋_GB2312"/>
          <w:color w:val="000000"/>
          <w:sz w:val="32"/>
          <w:szCs w:val="32"/>
        </w:rPr>
        <w:t>第四部分：名词解释</w:t>
      </w:r>
    </w:p>
    <w:p>
      <w:pPr>
        <w:spacing w:line="560" w:lineRule="exact"/>
        <w:ind w:firstLine="643" w:firstLineChars="200"/>
        <w:rPr>
          <w:rFonts w:eastAsia="仿宋_GB2312"/>
          <w:bCs/>
          <w:color w:val="000000"/>
          <w:kern w:val="0"/>
          <w:sz w:val="32"/>
          <w:szCs w:val="32"/>
        </w:rPr>
      </w:pPr>
      <w:r>
        <w:rPr>
          <w:rFonts w:hAnsi="黑体" w:eastAsia="黑体"/>
          <w:b/>
          <w:bCs/>
          <w:color w:val="000000"/>
          <w:kern w:val="0"/>
          <w:sz w:val="32"/>
          <w:szCs w:val="32"/>
        </w:rPr>
        <w:t>一、财政拨款收入</w:t>
      </w:r>
      <w:r>
        <w:rPr>
          <w:rFonts w:eastAsia="仿宋_GB2312"/>
          <w:bCs/>
          <w:color w:val="000000"/>
          <w:kern w:val="0"/>
          <w:sz w:val="32"/>
          <w:szCs w:val="32"/>
        </w:rPr>
        <w:t xml:space="preserve">：指市本级财政部门当年拨付的资金。 </w:t>
      </w:r>
    </w:p>
    <w:p>
      <w:pPr>
        <w:spacing w:line="560" w:lineRule="exact"/>
        <w:ind w:firstLine="643" w:firstLineChars="200"/>
        <w:rPr>
          <w:rFonts w:eastAsia="仿宋_GB2312"/>
          <w:bCs/>
          <w:color w:val="000000"/>
          <w:kern w:val="0"/>
          <w:sz w:val="32"/>
          <w:szCs w:val="32"/>
        </w:rPr>
      </w:pPr>
      <w:r>
        <w:rPr>
          <w:rFonts w:hAnsi="黑体" w:eastAsia="黑体"/>
          <w:b/>
          <w:bCs/>
          <w:color w:val="000000"/>
          <w:kern w:val="0"/>
          <w:sz w:val="32"/>
          <w:szCs w:val="32"/>
        </w:rPr>
        <w:t>二、基本支出</w:t>
      </w:r>
      <w:r>
        <w:rPr>
          <w:rFonts w:eastAsia="仿宋_GB2312"/>
          <w:bCs/>
          <w:color w:val="000000"/>
          <w:kern w:val="0"/>
          <w:sz w:val="32"/>
          <w:szCs w:val="32"/>
        </w:rPr>
        <w:t>：指为保障机构正常运转、完成日常工作任务而发生的人员支出和公用支出。</w:t>
      </w:r>
    </w:p>
    <w:p>
      <w:pPr>
        <w:spacing w:line="560" w:lineRule="exact"/>
        <w:ind w:firstLine="643" w:firstLineChars="200"/>
        <w:rPr>
          <w:rFonts w:eastAsia="仿宋_GB2312"/>
          <w:bCs/>
          <w:color w:val="000000"/>
          <w:kern w:val="0"/>
          <w:sz w:val="32"/>
          <w:szCs w:val="32"/>
        </w:rPr>
      </w:pPr>
      <w:r>
        <w:rPr>
          <w:rFonts w:hAnsi="黑体" w:eastAsia="黑体"/>
          <w:b/>
          <w:bCs/>
          <w:color w:val="000000"/>
          <w:kern w:val="0"/>
          <w:sz w:val="32"/>
          <w:szCs w:val="32"/>
        </w:rPr>
        <w:t>三、项目支出</w:t>
      </w:r>
      <w:r>
        <w:rPr>
          <w:rFonts w:eastAsia="仿宋_GB2312"/>
          <w:bCs/>
          <w:color w:val="000000"/>
          <w:kern w:val="0"/>
          <w:sz w:val="32"/>
          <w:szCs w:val="32"/>
        </w:rPr>
        <w:t xml:space="preserve">：指在基本支出之外为完成特定行政任务和事业发展目标所发生的支出。  </w:t>
      </w:r>
    </w:p>
    <w:p>
      <w:pPr>
        <w:spacing w:line="560" w:lineRule="exact"/>
        <w:ind w:firstLine="643" w:firstLineChars="200"/>
        <w:rPr>
          <w:rFonts w:eastAsia="仿宋_GB2312"/>
          <w:bCs/>
          <w:color w:val="000000"/>
          <w:kern w:val="0"/>
          <w:sz w:val="32"/>
          <w:szCs w:val="32"/>
        </w:rPr>
      </w:pPr>
      <w:r>
        <w:rPr>
          <w:rFonts w:hAnsi="黑体" w:eastAsia="黑体"/>
          <w:b/>
          <w:bCs/>
          <w:color w:val="000000"/>
          <w:kern w:val="0"/>
          <w:sz w:val="32"/>
          <w:szCs w:val="32"/>
        </w:rPr>
        <w:t>四、</w:t>
      </w:r>
      <w:r>
        <w:rPr>
          <w:rFonts w:eastAsia="黑体"/>
          <w:b/>
          <w:bCs/>
          <w:color w:val="000000"/>
          <w:kern w:val="0"/>
          <w:sz w:val="32"/>
          <w:szCs w:val="32"/>
        </w:rPr>
        <w:t>“</w:t>
      </w:r>
      <w:r>
        <w:rPr>
          <w:rFonts w:hAnsi="黑体" w:eastAsia="黑体"/>
          <w:b/>
          <w:bCs/>
          <w:color w:val="000000"/>
          <w:kern w:val="0"/>
          <w:sz w:val="32"/>
          <w:szCs w:val="32"/>
        </w:rPr>
        <w:t>三公</w:t>
      </w:r>
      <w:r>
        <w:rPr>
          <w:rFonts w:eastAsia="黑体"/>
          <w:b/>
          <w:bCs/>
          <w:color w:val="000000"/>
          <w:kern w:val="0"/>
          <w:sz w:val="32"/>
          <w:szCs w:val="32"/>
        </w:rPr>
        <w:t>”</w:t>
      </w:r>
      <w:r>
        <w:rPr>
          <w:rFonts w:hAnsi="黑体" w:eastAsia="黑体"/>
          <w:b/>
          <w:bCs/>
          <w:color w:val="000000"/>
          <w:kern w:val="0"/>
          <w:sz w:val="32"/>
          <w:szCs w:val="32"/>
        </w:rPr>
        <w:t>经费</w:t>
      </w:r>
      <w:r>
        <w:rPr>
          <w:rFonts w:eastAsia="仿宋_GB2312"/>
          <w:bCs/>
          <w:color w:val="000000"/>
          <w:kern w:val="0"/>
          <w:sz w:val="32"/>
          <w:szCs w:val="32"/>
        </w:rPr>
        <w:t>：纳入市财政预决算管理的“三公”经费，是</w:t>
      </w:r>
      <w:r>
        <w:rPr>
          <w:rFonts w:hAnsi="仿宋_GB2312" w:eastAsia="仿宋_GB2312"/>
          <w:bCs/>
          <w:color w:val="000000"/>
          <w:kern w:val="0"/>
          <w:sz w:val="32"/>
          <w:szCs w:val="32"/>
        </w:rPr>
        <w:t>指市</w:t>
      </w:r>
      <w:r>
        <w:rPr>
          <w:rFonts w:hAnsi="仿宋_GB2312" w:eastAsia="仿宋_GB2312"/>
          <w:sz w:val="32"/>
          <w:szCs w:val="32"/>
        </w:rPr>
        <w:t>本级各部门用财政拨款安排的因公出国（境）费、公务用车购置及运行费和公务接待费。</w:t>
      </w:r>
      <w:r>
        <w:rPr>
          <w:rFonts w:eastAsia="仿宋_GB2312"/>
          <w:bCs/>
          <w:color w:val="000000"/>
          <w:kern w:val="0"/>
          <w:sz w:val="32"/>
          <w:szCs w:val="32"/>
        </w:rPr>
        <w:t>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spacing w:line="560" w:lineRule="exact"/>
        <w:ind w:firstLine="643" w:firstLineChars="200"/>
        <w:rPr>
          <w:rFonts w:eastAsia="仿宋_GB2312"/>
          <w:color w:val="FF0000"/>
          <w:sz w:val="32"/>
          <w:szCs w:val="32"/>
        </w:rPr>
      </w:pPr>
      <w:r>
        <w:rPr>
          <w:rFonts w:hAnsi="黑体" w:eastAsia="黑体"/>
          <w:b/>
          <w:bCs/>
          <w:color w:val="000000"/>
          <w:kern w:val="0"/>
          <w:sz w:val="32"/>
          <w:szCs w:val="32"/>
        </w:rPr>
        <w:t>五、机关运行经费</w:t>
      </w:r>
      <w:r>
        <w:rPr>
          <w:rFonts w:eastAsia="仿宋_GB2312"/>
          <w:bCs/>
          <w:color w:val="000000"/>
          <w:kern w:val="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640" w:firstLineChars="200"/>
        <w:rPr>
          <w:rFonts w:eastAsia="仿宋_GB2312"/>
          <w:color w:val="FF0000"/>
          <w:sz w:val="32"/>
          <w:szCs w:val="32"/>
        </w:rPr>
      </w:pPr>
    </w:p>
    <w:p>
      <w:pPr>
        <w:spacing w:line="560" w:lineRule="exact"/>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separate"/>
    </w:r>
    <w:r>
      <w:rPr>
        <w:rStyle w:val="9"/>
      </w:rPr>
      <w:t>5</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IzNWNhYzUwOTIyNDg3NzlkMWVjMGY4YWE5OGZhZDMifQ=="/>
  </w:docVars>
  <w:rsids>
    <w:rsidRoot w:val="60BA7E18"/>
    <w:rsid w:val="000460AB"/>
    <w:rsid w:val="00056CE2"/>
    <w:rsid w:val="00070D33"/>
    <w:rsid w:val="00107B85"/>
    <w:rsid w:val="00182117"/>
    <w:rsid w:val="002A13CD"/>
    <w:rsid w:val="002D66E3"/>
    <w:rsid w:val="003D6BB1"/>
    <w:rsid w:val="0040481B"/>
    <w:rsid w:val="00487403"/>
    <w:rsid w:val="004B01BC"/>
    <w:rsid w:val="004B556F"/>
    <w:rsid w:val="00522311"/>
    <w:rsid w:val="005A5892"/>
    <w:rsid w:val="00656AB9"/>
    <w:rsid w:val="006623F7"/>
    <w:rsid w:val="006F7B21"/>
    <w:rsid w:val="00703E4A"/>
    <w:rsid w:val="007D44C5"/>
    <w:rsid w:val="008318D8"/>
    <w:rsid w:val="00836A29"/>
    <w:rsid w:val="00861DF5"/>
    <w:rsid w:val="0087376F"/>
    <w:rsid w:val="00876240"/>
    <w:rsid w:val="008A4C3F"/>
    <w:rsid w:val="008D3745"/>
    <w:rsid w:val="008E13C1"/>
    <w:rsid w:val="00906799"/>
    <w:rsid w:val="009136B5"/>
    <w:rsid w:val="0092264F"/>
    <w:rsid w:val="00966732"/>
    <w:rsid w:val="0097732D"/>
    <w:rsid w:val="00981F18"/>
    <w:rsid w:val="009D74E9"/>
    <w:rsid w:val="00A80AC1"/>
    <w:rsid w:val="00A81566"/>
    <w:rsid w:val="00A97CCA"/>
    <w:rsid w:val="00AA2422"/>
    <w:rsid w:val="00AB55D1"/>
    <w:rsid w:val="00AC4769"/>
    <w:rsid w:val="00AE4673"/>
    <w:rsid w:val="00B06B5A"/>
    <w:rsid w:val="00BA5F23"/>
    <w:rsid w:val="00BC3C61"/>
    <w:rsid w:val="00C22FE4"/>
    <w:rsid w:val="00C75F7C"/>
    <w:rsid w:val="00C83D4A"/>
    <w:rsid w:val="00C9754F"/>
    <w:rsid w:val="00D327AC"/>
    <w:rsid w:val="00D448BD"/>
    <w:rsid w:val="00D52E6A"/>
    <w:rsid w:val="00D60062"/>
    <w:rsid w:val="00D779DA"/>
    <w:rsid w:val="00D859DB"/>
    <w:rsid w:val="00E46A35"/>
    <w:rsid w:val="00EC1CA9"/>
    <w:rsid w:val="00EC25E9"/>
    <w:rsid w:val="00ED2A42"/>
    <w:rsid w:val="1A4D5C69"/>
    <w:rsid w:val="1B09184B"/>
    <w:rsid w:val="292E6828"/>
    <w:rsid w:val="40253AA2"/>
    <w:rsid w:val="51A111EE"/>
    <w:rsid w:val="59C36591"/>
    <w:rsid w:val="5A87246F"/>
    <w:rsid w:val="60BA7E18"/>
    <w:rsid w:val="78D30A7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Strong"/>
    <w:qFormat/>
    <w:uiPriority w:val="0"/>
    <w:rPr>
      <w:b/>
      <w:bCs/>
    </w:rPr>
  </w:style>
  <w:style w:type="character" w:styleId="9">
    <w:name w:val="page number"/>
    <w:basedOn w:val="7"/>
    <w:qFormat/>
    <w:uiPriority w:val="0"/>
  </w:style>
  <w:style w:type="character" w:customStyle="1" w:styleId="10">
    <w:name w:val="批注框文本 Char"/>
    <w:basedOn w:val="7"/>
    <w:link w:val="2"/>
    <w:qFormat/>
    <w:uiPriority w:val="0"/>
    <w:rPr>
      <w:kern w:val="2"/>
      <w:sz w:val="18"/>
      <w:szCs w:val="18"/>
    </w:rPr>
  </w:style>
  <w:style w:type="character" w:customStyle="1" w:styleId="11">
    <w:name w:val="页眉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6167B-A1FE-401C-B35F-61BA0E2E8E3E}">
  <ds:schemaRefs/>
</ds:datastoreItem>
</file>

<file path=docProps/app.xml><?xml version="1.0" encoding="utf-8"?>
<Properties xmlns="http://schemas.openxmlformats.org/officeDocument/2006/extended-properties" xmlns:vt="http://schemas.openxmlformats.org/officeDocument/2006/docPropsVTypes">
  <Template>Normal</Template>
  <Pages>9</Pages>
  <Words>3699</Words>
  <Characters>4155</Characters>
  <Lines>30</Lines>
  <Paragraphs>8</Paragraphs>
  <TotalTime>96</TotalTime>
  <ScaleCrop>false</ScaleCrop>
  <LinksUpToDate>false</LinksUpToDate>
  <CharactersWithSpaces>4205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2022-09-02T08:40:00Z</dcterms:created>
  <dc:creator>黄柳淋</dc:creator>
  <cp:lastModifiedBy>ちひろ</cp:lastModifiedBy>
  <dcterms:modified xsi:type="dcterms:W3CDTF">2023-05-06T06:53:48Z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0570EF7736324D69B1899D894FDA0B16_12</vt:lpwstr>
  </property>
</Properties>
</file>