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华文仿宋" w:eastAsia="方正小标宋简体"/>
          <w:sz w:val="44"/>
          <w:szCs w:val="44"/>
        </w:rPr>
      </w:pPr>
      <w:r>
        <w:rPr>
          <w:rFonts w:hint="eastAsia" w:ascii="方正小标宋简体" w:hAnsi="华文仿宋" w:eastAsia="方正小标宋简体"/>
          <w:sz w:val="44"/>
          <w:szCs w:val="44"/>
          <w:lang w:eastAsia="zh-CN"/>
        </w:rPr>
        <w:t>柳州市三江侗族自治县人民</w:t>
      </w:r>
      <w:r>
        <w:rPr>
          <w:rFonts w:hint="eastAsia" w:ascii="方正小标宋简体" w:hAnsi="华文仿宋" w:eastAsia="方正小标宋简体"/>
          <w:sz w:val="44"/>
          <w:szCs w:val="44"/>
        </w:rPr>
        <w:t>法院</w:t>
      </w:r>
    </w:p>
    <w:p>
      <w:pPr>
        <w:spacing w:line="560" w:lineRule="exact"/>
        <w:jc w:val="center"/>
        <w:rPr>
          <w:rFonts w:hint="eastAsia" w:ascii="方正小标宋简体" w:hAnsi="华文仿宋" w:eastAsia="方正小标宋简体"/>
          <w:sz w:val="44"/>
          <w:szCs w:val="44"/>
        </w:rPr>
      </w:pPr>
      <w:r>
        <w:rPr>
          <w:rFonts w:hint="eastAsia" w:ascii="方正小标宋简体" w:hAnsi="华文仿宋" w:eastAsia="方正小标宋简体"/>
          <w:sz w:val="44"/>
          <w:szCs w:val="44"/>
        </w:rPr>
        <w:t>2021年预算公开说明</w:t>
      </w:r>
    </w:p>
    <w:p>
      <w:pPr>
        <w:tabs>
          <w:tab w:val="center" w:pos="4475"/>
        </w:tabs>
        <w:spacing w:line="560" w:lineRule="exact"/>
        <w:jc w:val="center"/>
        <w:rPr>
          <w:rFonts w:hint="eastAsia" w:ascii="仿宋_GB2312" w:hAnsi="华文仿宋" w:eastAsia="仿宋_GB2312"/>
          <w:sz w:val="32"/>
          <w:szCs w:val="32"/>
        </w:rPr>
      </w:pPr>
    </w:p>
    <w:p>
      <w:pPr>
        <w:spacing w:line="560" w:lineRule="exact"/>
        <w:rPr>
          <w:rFonts w:hint="eastAsia" w:ascii="方正小标宋简体" w:hAnsi="华文仿宋" w:eastAsia="方正小标宋简体"/>
          <w:sz w:val="44"/>
          <w:szCs w:val="44"/>
        </w:rPr>
      </w:pPr>
    </w:p>
    <w:p>
      <w:pPr>
        <w:spacing w:line="560" w:lineRule="exact"/>
        <w:jc w:val="center"/>
        <w:rPr>
          <w:rStyle w:val="7"/>
          <w:rFonts w:hint="eastAsia" w:ascii="方正小标宋简体" w:hAnsi="华文仿宋" w:eastAsia="方正小标宋简体"/>
          <w:bCs w:val="0"/>
          <w:sz w:val="44"/>
          <w:szCs w:val="44"/>
        </w:rPr>
      </w:pPr>
      <w:r>
        <w:rPr>
          <w:rStyle w:val="7"/>
          <w:rFonts w:hint="eastAsia" w:ascii="方正小标宋简体" w:hAnsi="华文仿宋" w:eastAsia="方正小标宋简体"/>
          <w:bCs w:val="0"/>
          <w:sz w:val="44"/>
          <w:szCs w:val="44"/>
        </w:rPr>
        <w:t>目 录</w:t>
      </w:r>
    </w:p>
    <w:p>
      <w:pPr>
        <w:pStyle w:val="4"/>
        <w:spacing w:before="0" w:beforeAutospacing="0" w:after="0" w:afterAutospacing="0" w:line="560" w:lineRule="exact"/>
        <w:ind w:firstLine="643" w:firstLineChars="200"/>
        <w:rPr>
          <w:rFonts w:hint="eastAsia" w:ascii="仿宋_GB2312" w:hAnsi="华文仿宋" w:eastAsia="仿宋_GB2312"/>
          <w:b/>
          <w:bCs/>
          <w:color w:val="000000"/>
          <w:sz w:val="32"/>
          <w:szCs w:val="32"/>
        </w:rPr>
      </w:pPr>
      <w:r>
        <w:rPr>
          <w:rFonts w:hint="eastAsia" w:ascii="仿宋_GB2312" w:hAnsi="华文仿宋" w:eastAsia="仿宋_GB2312"/>
          <w:b/>
          <w:bCs/>
          <w:color w:val="000000"/>
          <w:sz w:val="32"/>
          <w:szCs w:val="32"/>
        </w:rPr>
        <w:t>第一部分：</w:t>
      </w:r>
      <w:r>
        <w:rPr>
          <w:rFonts w:hint="eastAsia" w:ascii="仿宋_GB2312" w:hAnsi="华文仿宋" w:eastAsia="仿宋_GB2312"/>
          <w:b/>
          <w:bCs/>
          <w:color w:val="000000"/>
          <w:sz w:val="32"/>
          <w:szCs w:val="32"/>
          <w:lang w:eastAsia="zh-CN"/>
        </w:rPr>
        <w:t>三江侗族自治县人民</w:t>
      </w:r>
      <w:r>
        <w:rPr>
          <w:rFonts w:hint="eastAsia" w:ascii="仿宋_GB2312" w:hAnsi="华文仿宋" w:eastAsia="仿宋_GB2312"/>
          <w:b/>
          <w:bCs/>
          <w:color w:val="000000"/>
          <w:sz w:val="32"/>
          <w:szCs w:val="32"/>
        </w:rPr>
        <w:t>法院概况</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一、主要职责</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二、机构设置情况</w:t>
      </w:r>
    </w:p>
    <w:p>
      <w:pPr>
        <w:pStyle w:val="4"/>
        <w:spacing w:before="0" w:beforeAutospacing="0" w:after="0" w:afterAutospacing="0" w:line="560" w:lineRule="exact"/>
        <w:ind w:firstLine="643" w:firstLineChars="200"/>
        <w:rPr>
          <w:rFonts w:hint="eastAsia" w:ascii="仿宋_GB2312" w:hAnsi="华文仿宋" w:eastAsia="仿宋_GB2312"/>
          <w:b/>
          <w:bCs/>
          <w:color w:val="000000"/>
          <w:sz w:val="32"/>
          <w:szCs w:val="32"/>
        </w:rPr>
      </w:pPr>
      <w:r>
        <w:rPr>
          <w:rFonts w:hint="eastAsia" w:ascii="仿宋_GB2312" w:hAnsi="华文仿宋" w:eastAsia="仿宋_GB2312"/>
          <w:b/>
          <w:bCs/>
          <w:color w:val="000000"/>
          <w:sz w:val="32"/>
          <w:szCs w:val="32"/>
        </w:rPr>
        <w:t>第二部分：</w:t>
      </w:r>
      <w:r>
        <w:rPr>
          <w:rFonts w:hint="eastAsia" w:ascii="仿宋_GB2312" w:hAnsi="华文仿宋" w:eastAsia="仿宋_GB2312"/>
          <w:b/>
          <w:bCs/>
          <w:color w:val="000000"/>
          <w:sz w:val="32"/>
          <w:szCs w:val="32"/>
          <w:lang w:eastAsia="zh-CN"/>
        </w:rPr>
        <w:t>三江侗族自治县人民</w:t>
      </w:r>
      <w:r>
        <w:rPr>
          <w:rFonts w:hint="eastAsia" w:ascii="仿宋_GB2312" w:hAnsi="华文仿宋" w:eastAsia="仿宋_GB2312"/>
          <w:b/>
          <w:bCs/>
          <w:color w:val="000000"/>
          <w:sz w:val="32"/>
          <w:szCs w:val="32"/>
        </w:rPr>
        <w:t>法院2021年预算报表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一、单位收支总体情况表（预算公开01表）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二、单位收入总体情况表（预算公开02表）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三、单位支出总体情况表（预算公开03表）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四、财政拨款收支总体情况表（预算公开04表）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五、一般公共预算支出情况表（预算公开05表）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六、一般公共预算基本支出情况表（预算公开06表）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七、一般公共预算“三公”经费支出情况表（预算公开07表）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八、政府性基金预算支出情况表（预算公开08表）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九、国有资本经营预算支出情况表（预算公开09表）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十、政府采购预算表（预算公开10表）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十一、政府购买服务预算表（预算公开11表）</w:t>
      </w:r>
    </w:p>
    <w:p>
      <w:pPr>
        <w:pStyle w:val="4"/>
        <w:spacing w:before="0" w:beforeAutospacing="0" w:after="0" w:afterAutospacing="0" w:line="560" w:lineRule="exact"/>
        <w:ind w:firstLine="643" w:firstLineChars="200"/>
        <w:rPr>
          <w:rFonts w:hint="eastAsia" w:ascii="仿宋_GB2312" w:hAnsi="华文仿宋" w:eastAsia="仿宋_GB2312"/>
          <w:b/>
          <w:bCs/>
          <w:color w:val="000000"/>
          <w:sz w:val="32"/>
          <w:szCs w:val="32"/>
        </w:rPr>
      </w:pPr>
      <w:r>
        <w:rPr>
          <w:rFonts w:hint="eastAsia" w:ascii="仿宋_GB2312" w:hAnsi="华文仿宋" w:eastAsia="仿宋_GB2312"/>
          <w:b/>
          <w:bCs/>
          <w:color w:val="000000"/>
          <w:sz w:val="32"/>
          <w:szCs w:val="32"/>
        </w:rPr>
        <w:t>第三部分：</w:t>
      </w:r>
      <w:r>
        <w:rPr>
          <w:rFonts w:hint="eastAsia" w:ascii="仿宋_GB2312" w:hAnsi="华文仿宋" w:eastAsia="仿宋_GB2312"/>
          <w:b/>
          <w:bCs/>
          <w:color w:val="000000"/>
          <w:sz w:val="32"/>
          <w:szCs w:val="32"/>
          <w:lang w:eastAsia="zh-CN"/>
        </w:rPr>
        <w:t>三江侗族自治县人民</w:t>
      </w:r>
      <w:r>
        <w:rPr>
          <w:rFonts w:hint="eastAsia" w:ascii="仿宋_GB2312" w:hAnsi="华文仿宋" w:eastAsia="仿宋_GB2312"/>
          <w:b/>
          <w:bCs/>
          <w:color w:val="000000"/>
          <w:sz w:val="32"/>
          <w:szCs w:val="32"/>
        </w:rPr>
        <w:t>法院2021年预算情况说明</w:t>
      </w:r>
    </w:p>
    <w:p>
      <w:pPr>
        <w:pStyle w:val="4"/>
        <w:spacing w:before="0" w:beforeAutospacing="0" w:after="0" w:afterAutospacing="0" w:line="560" w:lineRule="exact"/>
        <w:ind w:firstLine="643" w:firstLineChars="200"/>
        <w:rPr>
          <w:rStyle w:val="7"/>
          <w:rFonts w:hint="eastAsia" w:ascii="仿宋_GB2312" w:hAnsi="华文仿宋" w:eastAsia="仿宋_GB2312" w:cs="宋体"/>
          <w:color w:val="000000"/>
          <w:kern w:val="0"/>
          <w:sz w:val="32"/>
          <w:szCs w:val="32"/>
        </w:rPr>
      </w:pPr>
      <w:r>
        <w:rPr>
          <w:rFonts w:hint="eastAsia" w:ascii="仿宋_GB2312" w:hAnsi="华文仿宋" w:eastAsia="仿宋_GB2312"/>
          <w:b/>
          <w:bCs/>
          <w:color w:val="000000"/>
          <w:sz w:val="32"/>
          <w:szCs w:val="32"/>
        </w:rPr>
        <w:t>第四部分：名词解释</w:t>
      </w:r>
    </w:p>
    <w:p>
      <w:pPr>
        <w:adjustRightInd w:val="0"/>
        <w:snapToGrid w:val="0"/>
        <w:spacing w:line="560" w:lineRule="exact"/>
        <w:ind w:right="-218" w:rightChars="-104"/>
        <w:jc w:val="center"/>
        <w:rPr>
          <w:rStyle w:val="7"/>
          <w:rFonts w:hint="eastAsia" w:ascii="仿宋_GB2312" w:hAnsi="华文仿宋" w:eastAsia="仿宋_GB2312"/>
          <w:color w:val="000000"/>
          <w:sz w:val="32"/>
          <w:szCs w:val="32"/>
          <w:highlight w:val="none"/>
        </w:rPr>
      </w:pPr>
      <w:r>
        <w:rPr>
          <w:rStyle w:val="7"/>
          <w:rFonts w:hint="eastAsia" w:ascii="仿宋_GB2312" w:hAnsi="华文仿宋" w:eastAsia="仿宋_GB2312"/>
          <w:color w:val="000000"/>
          <w:sz w:val="32"/>
          <w:szCs w:val="32"/>
          <w:highlight w:val="none"/>
        </w:rPr>
        <w:t>第一部分：</w:t>
      </w:r>
      <w:r>
        <w:rPr>
          <w:rStyle w:val="7"/>
          <w:rFonts w:hint="eastAsia" w:ascii="仿宋_GB2312" w:hAnsi="华文仿宋" w:eastAsia="仿宋_GB2312"/>
          <w:color w:val="000000"/>
          <w:sz w:val="32"/>
          <w:szCs w:val="32"/>
          <w:highlight w:val="none"/>
          <w:lang w:eastAsia="zh-CN"/>
        </w:rPr>
        <w:t>柳州市</w:t>
      </w:r>
      <w:r>
        <w:rPr>
          <w:rFonts w:hint="eastAsia" w:ascii="仿宋_GB2312" w:hAnsi="华文仿宋" w:eastAsia="仿宋_GB2312"/>
          <w:b/>
          <w:bCs/>
          <w:color w:val="000000"/>
          <w:sz w:val="32"/>
          <w:szCs w:val="32"/>
          <w:highlight w:val="none"/>
          <w:lang w:eastAsia="zh-CN"/>
        </w:rPr>
        <w:t>三江侗族自治县人民</w:t>
      </w:r>
      <w:r>
        <w:rPr>
          <w:rStyle w:val="7"/>
          <w:rFonts w:hint="eastAsia" w:ascii="仿宋_GB2312" w:hAnsi="华文仿宋" w:eastAsia="仿宋_GB2312"/>
          <w:color w:val="000000"/>
          <w:sz w:val="32"/>
          <w:szCs w:val="32"/>
          <w:highlight w:val="none"/>
        </w:rPr>
        <w:t>法院概况</w:t>
      </w:r>
    </w:p>
    <w:p>
      <w:pPr>
        <w:adjustRightInd w:val="0"/>
        <w:snapToGrid w:val="0"/>
        <w:spacing w:line="560" w:lineRule="exact"/>
        <w:ind w:right="-218" w:rightChars="-104"/>
        <w:jc w:val="center"/>
        <w:rPr>
          <w:rStyle w:val="7"/>
          <w:rFonts w:hint="eastAsia" w:ascii="仿宋_GB2312" w:hAnsi="华文仿宋" w:eastAsia="仿宋_GB2312"/>
          <w:b w:val="0"/>
          <w:bCs w:val="0"/>
          <w:color w:val="000000"/>
          <w:sz w:val="32"/>
          <w:szCs w:val="32"/>
        </w:rPr>
      </w:pPr>
    </w:p>
    <w:p>
      <w:pPr>
        <w:pStyle w:val="4"/>
        <w:spacing w:before="0" w:beforeAutospacing="0" w:after="0" w:afterAutospacing="0" w:line="560" w:lineRule="exact"/>
        <w:ind w:firstLine="643" w:firstLineChars="200"/>
        <w:jc w:val="both"/>
        <w:rPr>
          <w:rFonts w:hint="eastAsia" w:ascii="黑体" w:hAnsi="黑体" w:eastAsia="黑体" w:cs="黑体"/>
          <w:b/>
          <w:bCs/>
          <w:color w:val="000000"/>
          <w:sz w:val="32"/>
          <w:szCs w:val="32"/>
        </w:rPr>
      </w:pPr>
      <w:r>
        <w:rPr>
          <w:rFonts w:hint="eastAsia" w:ascii="黑体" w:hAnsi="黑体" w:eastAsia="黑体" w:cs="黑体"/>
          <w:b/>
          <w:bCs/>
          <w:color w:val="000000"/>
          <w:sz w:val="32"/>
          <w:szCs w:val="32"/>
        </w:rPr>
        <w:t>一、主要职责</w:t>
      </w:r>
    </w:p>
    <w:p>
      <w:pPr>
        <w:pStyle w:val="2"/>
        <w:spacing w:line="560" w:lineRule="exact"/>
        <w:ind w:firstLine="643" w:firstLineChars="200"/>
        <w:rPr>
          <w:rFonts w:ascii="仿宋" w:hAnsi="仿宋" w:eastAsia="仿宋"/>
          <w:b/>
          <w:bCs/>
          <w:sz w:val="32"/>
          <w:szCs w:val="32"/>
          <w:lang w:eastAsia="zh-CN"/>
        </w:rPr>
      </w:pPr>
      <w:r>
        <w:rPr>
          <w:rFonts w:hint="eastAsia" w:ascii="仿宋" w:hAnsi="仿宋" w:eastAsia="仿宋"/>
          <w:b/>
          <w:bCs/>
          <w:sz w:val="32"/>
          <w:szCs w:val="32"/>
          <w:lang w:eastAsia="zh-CN"/>
        </w:rPr>
        <w:t>（一）基本职能。</w:t>
      </w:r>
    </w:p>
    <w:p>
      <w:pPr>
        <w:pStyle w:val="2"/>
        <w:spacing w:line="560" w:lineRule="exact"/>
        <w:ind w:firstLine="640" w:firstLineChars="200"/>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1、依法审理法律规定应由我院管辖的第一审刑事、民事、行政诉讼案件以及法律规定的其他案件。</w:t>
      </w:r>
    </w:p>
    <w:p>
      <w:pPr>
        <w:pStyle w:val="2"/>
        <w:spacing w:line="560" w:lineRule="exact"/>
        <w:ind w:firstLine="640" w:firstLineChars="200"/>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2、审理上级人民法院指定再审的案件；审理本院发生法律效力的判决、裁定提起再审的案件。</w:t>
      </w:r>
    </w:p>
    <w:p>
      <w:pPr>
        <w:pStyle w:val="2"/>
        <w:spacing w:line="560" w:lineRule="exact"/>
        <w:ind w:firstLine="640" w:firstLineChars="200"/>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3、依法审理上级人民法院交由我院审理的刑事、民事、行政案件。</w:t>
      </w:r>
    </w:p>
    <w:p>
      <w:pPr>
        <w:pStyle w:val="2"/>
        <w:spacing w:line="560" w:lineRule="exact"/>
        <w:ind w:firstLine="640" w:firstLineChars="200"/>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4、依法行使司法决定权和司法执行权，执行由其作为一审法院的终审裁决或行政机关申请执行的行政案件。</w:t>
      </w:r>
    </w:p>
    <w:p>
      <w:pPr>
        <w:pStyle w:val="2"/>
        <w:spacing w:line="560" w:lineRule="exact"/>
        <w:ind w:firstLine="640" w:firstLineChars="200"/>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5、负责对人民调解委员会的调解工作进行业务指导。</w:t>
      </w:r>
    </w:p>
    <w:p>
      <w:pPr>
        <w:pStyle w:val="2"/>
        <w:spacing w:line="560" w:lineRule="exact"/>
        <w:ind w:firstLine="640" w:firstLineChars="200"/>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6、负责本院的政治思想、内部监督、教育培训、法制宣传、司法行政事务、司法警察等工作。</w:t>
      </w:r>
    </w:p>
    <w:p>
      <w:pPr>
        <w:pStyle w:val="2"/>
        <w:spacing w:line="560" w:lineRule="exact"/>
        <w:ind w:firstLine="643" w:firstLineChars="200"/>
        <w:rPr>
          <w:rFonts w:hint="eastAsia" w:ascii="仿宋" w:hAnsi="仿宋" w:eastAsia="仿宋"/>
          <w:b/>
          <w:bCs/>
          <w:sz w:val="32"/>
          <w:szCs w:val="32"/>
          <w:lang w:eastAsia="zh-CN"/>
        </w:rPr>
      </w:pPr>
      <w:r>
        <w:rPr>
          <w:rFonts w:hint="eastAsia" w:ascii="仿宋" w:hAnsi="仿宋" w:eastAsia="仿宋"/>
          <w:b/>
          <w:bCs/>
          <w:sz w:val="32"/>
          <w:szCs w:val="32"/>
          <w:lang w:eastAsia="zh-CN"/>
        </w:rPr>
        <w:t>（二）2021年工作目标。</w:t>
      </w:r>
    </w:p>
    <w:p>
      <w:pPr>
        <w:keepNext w:val="0"/>
        <w:keepLines w:val="0"/>
        <w:pageBreakBefore w:val="0"/>
        <w:widowControl/>
        <w:kinsoku/>
        <w:wordWrap/>
        <w:overflowPunct/>
        <w:topLinePunct w:val="0"/>
        <w:autoSpaceDE w:val="0"/>
        <w:autoSpaceDN w:val="0"/>
        <w:bidi w:val="0"/>
        <w:adjustRightInd w:val="0"/>
        <w:snapToGrid w:val="0"/>
        <w:spacing w:line="580" w:lineRule="exact"/>
        <w:ind w:right="0" w:rightChars="0" w:firstLine="643" w:firstLineChars="200"/>
        <w:textAlignment w:val="auto"/>
        <w:outlineLvl w:val="9"/>
        <w:rPr>
          <w:rFonts w:hint="eastAsia" w:ascii="仿宋_GB2312" w:hAnsi="仿宋_GB2312" w:eastAsia="仿宋_GB2312" w:cs="仿宋_GB2312"/>
          <w:snapToGrid w:val="0"/>
          <w:color w:val="auto"/>
          <w:kern w:val="0"/>
          <w:sz w:val="32"/>
          <w:szCs w:val="32"/>
          <w:lang w:val="en-US" w:eastAsia="zh-CN"/>
        </w:rPr>
      </w:pPr>
      <w:r>
        <w:rPr>
          <w:rFonts w:hint="eastAsia" w:ascii="仿宋_GB2312" w:hAnsi="仿宋_GB2312" w:eastAsia="仿宋_GB2312" w:cs="仿宋_GB2312"/>
          <w:b/>
          <w:bCs/>
          <w:snapToGrid w:val="0"/>
          <w:color w:val="auto"/>
          <w:kern w:val="0"/>
          <w:sz w:val="32"/>
          <w:szCs w:val="32"/>
          <w:lang w:val="en-US" w:eastAsia="zh-CN"/>
        </w:rPr>
        <w:t>1、始终坚持学习贯彻习近平法治思想，坚持党对法院工作的绝对领导。</w:t>
      </w:r>
      <w:r>
        <w:rPr>
          <w:rFonts w:hint="eastAsia" w:ascii="仿宋_GB2312" w:hAnsi="仿宋_GB2312" w:eastAsia="仿宋_GB2312" w:cs="仿宋_GB2312"/>
          <w:snapToGrid w:val="0"/>
          <w:color w:val="auto"/>
          <w:kern w:val="0"/>
          <w:sz w:val="32"/>
          <w:szCs w:val="32"/>
          <w:lang w:val="en-US" w:eastAsia="zh-CN"/>
        </w:rPr>
        <w:t>认真学习贯彻十九届五中全会精神，全面贯彻落实习近平法治思想，坚决维护以习近平同志为核心的党中央权威和集中统一领导。</w:t>
      </w:r>
      <w:r>
        <w:rPr>
          <w:rFonts w:hint="eastAsia" w:ascii="仿宋_GB2312" w:eastAsia="仿宋_GB2312"/>
          <w:snapToGrid w:val="0"/>
          <w:color w:val="auto"/>
          <w:kern w:val="0"/>
          <w:sz w:val="32"/>
          <w:szCs w:val="32"/>
        </w:rPr>
        <w:t>始终坚持党对法院工作的绝对领导，不折不扣贯彻落实</w:t>
      </w:r>
      <w:r>
        <w:rPr>
          <w:rFonts w:hint="eastAsia" w:ascii="仿宋_GB2312" w:eastAsia="仿宋_GB2312"/>
          <w:snapToGrid w:val="0"/>
          <w:color w:val="auto"/>
          <w:kern w:val="0"/>
          <w:sz w:val="32"/>
          <w:szCs w:val="32"/>
          <w:lang w:eastAsia="zh-CN"/>
        </w:rPr>
        <w:t>县</w:t>
      </w:r>
      <w:r>
        <w:rPr>
          <w:rFonts w:ascii="仿宋_GB2312" w:eastAsia="仿宋_GB2312"/>
          <w:snapToGrid w:val="0"/>
          <w:color w:val="auto"/>
          <w:kern w:val="0"/>
          <w:sz w:val="32"/>
          <w:szCs w:val="32"/>
        </w:rPr>
        <w:t>委决策部署和本次大会精神</w:t>
      </w:r>
      <w:r>
        <w:rPr>
          <w:rFonts w:hint="eastAsia" w:ascii="仿宋_GB2312" w:hAnsi="仿宋_GB2312" w:eastAsia="仿宋_GB2312" w:cs="仿宋_GB2312"/>
          <w:snapToGrid w:val="0"/>
          <w:color w:val="auto"/>
          <w:kern w:val="0"/>
          <w:sz w:val="32"/>
          <w:szCs w:val="32"/>
          <w:lang w:eastAsia="zh-CN"/>
        </w:rPr>
        <w:t>。</w:t>
      </w:r>
      <w:r>
        <w:rPr>
          <w:rFonts w:hint="eastAsia" w:ascii="仿宋_GB2312" w:hAnsi="仿宋_GB2312" w:eastAsia="仿宋_GB2312" w:cs="仿宋_GB2312"/>
          <w:snapToGrid w:val="0"/>
          <w:color w:val="auto"/>
          <w:kern w:val="0"/>
          <w:sz w:val="32"/>
          <w:szCs w:val="32"/>
          <w:lang w:val="en-US" w:eastAsia="zh-CN"/>
        </w:rPr>
        <w:t>全面贯彻落实新时代党的建设总要求，</w:t>
      </w:r>
      <w:r>
        <w:rPr>
          <w:rFonts w:hint="eastAsia" w:ascii="仿宋_GB2312" w:hAnsi="仿宋_GB2312" w:eastAsia="仿宋_GB2312" w:cs="仿宋_GB2312"/>
          <w:snapToGrid w:val="0"/>
          <w:color w:val="auto"/>
          <w:kern w:val="0"/>
          <w:sz w:val="32"/>
          <w:szCs w:val="32"/>
        </w:rPr>
        <w:t>加强机关党</w:t>
      </w:r>
      <w:r>
        <w:rPr>
          <w:rFonts w:hint="eastAsia" w:ascii="仿宋_GB2312" w:hAnsi="仿宋_GB2312" w:eastAsia="仿宋_GB2312" w:cs="仿宋_GB2312"/>
          <w:snapToGrid w:val="0"/>
          <w:color w:val="auto"/>
          <w:kern w:val="0"/>
          <w:sz w:val="32"/>
          <w:szCs w:val="32"/>
          <w:lang w:eastAsia="zh-CN"/>
        </w:rPr>
        <w:t>组织</w:t>
      </w:r>
      <w:r>
        <w:rPr>
          <w:rFonts w:hint="eastAsia" w:ascii="仿宋_GB2312" w:hAnsi="仿宋_GB2312" w:eastAsia="仿宋_GB2312" w:cs="仿宋_GB2312"/>
          <w:snapToGrid w:val="0"/>
          <w:color w:val="auto"/>
          <w:kern w:val="0"/>
          <w:sz w:val="32"/>
          <w:szCs w:val="32"/>
        </w:rPr>
        <w:t>的建设，锤炼忠诚干净担当的政治品格。</w:t>
      </w:r>
    </w:p>
    <w:p>
      <w:pPr>
        <w:keepNext w:val="0"/>
        <w:keepLines w:val="0"/>
        <w:pageBreakBefore w:val="0"/>
        <w:widowControl/>
        <w:kinsoku/>
        <w:wordWrap/>
        <w:overflowPunct/>
        <w:topLinePunct w:val="0"/>
        <w:autoSpaceDE w:val="0"/>
        <w:autoSpaceDN w:val="0"/>
        <w:bidi w:val="0"/>
        <w:adjustRightInd w:val="0"/>
        <w:snapToGrid w:val="0"/>
        <w:spacing w:line="580" w:lineRule="exact"/>
        <w:ind w:right="0" w:rightChars="0" w:firstLine="643" w:firstLineChars="200"/>
        <w:textAlignment w:val="auto"/>
        <w:outlineLvl w:val="9"/>
        <w:rPr>
          <w:rFonts w:hint="eastAsia" w:ascii="仿宋_GB2312" w:hAnsi="仿宋_GB2312" w:eastAsia="仿宋_GB2312" w:cs="仿宋_GB2312"/>
          <w:b w:val="0"/>
          <w:bCs w:val="0"/>
          <w:snapToGrid w:val="0"/>
          <w:color w:val="auto"/>
          <w:kern w:val="0"/>
          <w:sz w:val="32"/>
          <w:szCs w:val="32"/>
          <w:lang w:val="en-US" w:eastAsia="zh-CN"/>
        </w:rPr>
      </w:pPr>
      <w:r>
        <w:rPr>
          <w:rFonts w:hint="eastAsia" w:ascii="仿宋_GB2312" w:hAnsi="仿宋_GB2312" w:eastAsia="仿宋_GB2312" w:cs="仿宋_GB2312"/>
          <w:b/>
          <w:bCs/>
          <w:snapToGrid w:val="0"/>
          <w:color w:val="auto"/>
          <w:kern w:val="0"/>
          <w:sz w:val="32"/>
          <w:szCs w:val="32"/>
          <w:lang w:val="en-US" w:eastAsia="zh-CN"/>
        </w:rPr>
        <w:t>2、始终坚持服务中心大局，为经济社会高质量发展提供有力司法保障。</w:t>
      </w:r>
      <w:r>
        <w:rPr>
          <w:rFonts w:hint="eastAsia" w:ascii="仿宋_GB2312" w:hAnsi="仿宋_GB2312" w:eastAsia="仿宋_GB2312" w:cs="仿宋_GB2312"/>
          <w:snapToGrid w:val="0"/>
          <w:color w:val="auto"/>
          <w:kern w:val="0"/>
          <w:sz w:val="32"/>
          <w:szCs w:val="32"/>
        </w:rPr>
        <w:t>在常态化疫情防控中做好司法应对，</w:t>
      </w:r>
      <w:r>
        <w:rPr>
          <w:rFonts w:hint="eastAsia" w:ascii="仿宋_GB2312" w:hAnsi="仿宋_GB2312" w:eastAsia="仿宋_GB2312" w:cs="仿宋_GB2312"/>
          <w:snapToGrid w:val="0"/>
          <w:color w:val="auto"/>
          <w:kern w:val="0"/>
          <w:sz w:val="32"/>
          <w:szCs w:val="32"/>
          <w:lang w:val="en-US" w:eastAsia="zh-CN"/>
        </w:rPr>
        <w:t>牢牢守住安全发展底线，</w:t>
      </w:r>
      <w:r>
        <w:rPr>
          <w:rFonts w:hint="eastAsia" w:ascii="仿宋_GB2312" w:hAnsi="仿宋_GB2312" w:eastAsia="仿宋_GB2312" w:cs="仿宋_GB2312"/>
          <w:snapToGrid w:val="0"/>
          <w:color w:val="auto"/>
          <w:kern w:val="0"/>
          <w:sz w:val="32"/>
          <w:szCs w:val="32"/>
        </w:rPr>
        <w:t>依</w:t>
      </w:r>
      <w:r>
        <w:rPr>
          <w:rFonts w:hint="eastAsia" w:ascii="仿宋_GB2312" w:hAnsi="仿宋_GB2312" w:eastAsia="仿宋_GB2312" w:cs="仿宋_GB2312"/>
          <w:b w:val="0"/>
          <w:bCs w:val="0"/>
          <w:snapToGrid w:val="0"/>
          <w:color w:val="auto"/>
          <w:kern w:val="0"/>
          <w:sz w:val="32"/>
          <w:szCs w:val="32"/>
          <w:lang w:val="en-US" w:eastAsia="zh-CN"/>
        </w:rPr>
        <w:t>法保障人民生命安全和身体</w:t>
      </w:r>
      <w:r>
        <w:rPr>
          <w:rFonts w:hint="eastAsia" w:ascii="仿宋_GB2312" w:hAnsi="仿宋_GB2312" w:eastAsia="仿宋_GB2312" w:cs="仿宋_GB2312"/>
          <w:snapToGrid w:val="0"/>
          <w:color w:val="auto"/>
          <w:kern w:val="0"/>
          <w:sz w:val="32"/>
          <w:szCs w:val="32"/>
          <w:lang w:val="en-US" w:eastAsia="zh-CN"/>
        </w:rPr>
        <w:t>健康。深入开展常态化扫黑除恶工作，突出标本兼治，健全扫黑除恶长效机制，切实保障人民群众安居乐业。服务法治化营商环境，依法妥善化解各类纠纷</w:t>
      </w:r>
      <w:r>
        <w:rPr>
          <w:rFonts w:hint="eastAsia" w:ascii="仿宋_GB2312" w:hAnsi="仿宋_GB2312" w:eastAsia="仿宋_GB2312" w:cs="仿宋_GB2312"/>
          <w:snapToGrid w:val="0"/>
          <w:color w:val="auto"/>
          <w:kern w:val="0"/>
          <w:sz w:val="32"/>
          <w:szCs w:val="32"/>
        </w:rPr>
        <w:t>，为</w:t>
      </w:r>
      <w:r>
        <w:rPr>
          <w:rFonts w:hint="eastAsia" w:ascii="仿宋_GB2312" w:hAnsi="仿宋_GB2312" w:eastAsia="仿宋_GB2312" w:cs="仿宋_GB2312"/>
          <w:snapToGrid w:val="0"/>
          <w:color w:val="auto"/>
          <w:kern w:val="0"/>
          <w:sz w:val="32"/>
          <w:szCs w:val="32"/>
          <w:lang w:val="en-US" w:eastAsia="zh-CN"/>
        </w:rPr>
        <w:t>经济双循环</w:t>
      </w:r>
      <w:r>
        <w:rPr>
          <w:rFonts w:hint="eastAsia" w:ascii="仿宋_GB2312" w:hAnsi="仿宋_GB2312" w:eastAsia="仿宋_GB2312" w:cs="仿宋_GB2312"/>
          <w:snapToGrid w:val="0"/>
          <w:color w:val="auto"/>
          <w:kern w:val="0"/>
          <w:sz w:val="32"/>
          <w:szCs w:val="32"/>
        </w:rPr>
        <w:t>营造良好法治环境。</w:t>
      </w:r>
      <w:r>
        <w:rPr>
          <w:rFonts w:hint="eastAsia" w:ascii="仿宋_GB2312" w:hAnsi="仿宋_GB2312" w:eastAsia="仿宋_GB2312" w:cs="仿宋_GB2312"/>
          <w:b w:val="0"/>
          <w:bCs w:val="0"/>
          <w:snapToGrid w:val="0"/>
          <w:color w:val="auto"/>
          <w:kern w:val="0"/>
          <w:sz w:val="32"/>
          <w:szCs w:val="32"/>
          <w:lang w:val="en-US" w:eastAsia="zh-CN"/>
        </w:rPr>
        <w:t>服务好三江发展大局，帮助企业构筑预防纠纷和防范风险机制。加强涉金融案件审判力度，维护地方金融稳定。</w:t>
      </w:r>
      <w:r>
        <w:rPr>
          <w:rFonts w:hint="eastAsia" w:ascii="仿宋_GB2312" w:hAnsi="仿宋" w:eastAsia="仿宋_GB2312" w:cs="仿宋"/>
          <w:bCs/>
          <w:snapToGrid w:val="0"/>
          <w:color w:val="auto"/>
          <w:kern w:val="0"/>
          <w:sz w:val="32"/>
          <w:szCs w:val="32"/>
        </w:rPr>
        <w:t>加强行政非诉案件审查，依法保障重大建设项目推进。</w:t>
      </w:r>
    </w:p>
    <w:p>
      <w:pPr>
        <w:keepNext w:val="0"/>
        <w:keepLines w:val="0"/>
        <w:pageBreakBefore w:val="0"/>
        <w:widowControl/>
        <w:kinsoku/>
        <w:wordWrap/>
        <w:overflowPunct/>
        <w:topLinePunct w:val="0"/>
        <w:autoSpaceDE w:val="0"/>
        <w:autoSpaceDN w:val="0"/>
        <w:bidi w:val="0"/>
        <w:adjustRightInd w:val="0"/>
        <w:snapToGrid w:val="0"/>
        <w:spacing w:line="580" w:lineRule="exact"/>
        <w:ind w:right="0" w:rightChars="0" w:firstLine="643" w:firstLineChars="200"/>
        <w:textAlignment w:val="auto"/>
        <w:outlineLvl w:val="9"/>
        <w:rPr>
          <w:rFonts w:hint="eastAsia" w:ascii="仿宋_GB2312" w:hAnsi="仿宋_GB2312" w:eastAsia="仿宋_GB2312" w:cs="仿宋_GB2312"/>
          <w:b w:val="0"/>
          <w:bCs w:val="0"/>
          <w:snapToGrid w:val="0"/>
          <w:color w:val="auto"/>
          <w:kern w:val="0"/>
          <w:sz w:val="32"/>
          <w:szCs w:val="32"/>
          <w:lang w:val="en-US" w:eastAsia="zh-CN"/>
        </w:rPr>
      </w:pPr>
      <w:r>
        <w:rPr>
          <w:rFonts w:hint="eastAsia" w:ascii="仿宋_GB2312" w:hAnsi="仿宋_GB2312" w:eastAsia="仿宋_GB2312" w:cs="仿宋_GB2312"/>
          <w:b/>
          <w:bCs/>
          <w:snapToGrid w:val="0"/>
          <w:color w:val="auto"/>
          <w:kern w:val="0"/>
          <w:sz w:val="32"/>
          <w:szCs w:val="32"/>
          <w:lang w:val="en-US" w:eastAsia="zh-CN"/>
        </w:rPr>
        <w:t>3、始终坚持以人民为中心，</w:t>
      </w:r>
      <w:r>
        <w:rPr>
          <w:rFonts w:hint="default" w:ascii="仿宋_GB2312" w:hAnsi="仿宋_GB2312" w:eastAsia="仿宋_GB2312" w:cs="仿宋_GB2312"/>
          <w:b/>
          <w:bCs/>
          <w:snapToGrid w:val="0"/>
          <w:color w:val="auto"/>
          <w:kern w:val="0"/>
          <w:sz w:val="32"/>
          <w:szCs w:val="32"/>
          <w:lang w:val="en-US" w:eastAsia="zh-CN"/>
        </w:rPr>
        <w:t>努力满足新时代人民群众对公正司法的新需求。</w:t>
      </w:r>
      <w:r>
        <w:rPr>
          <w:rFonts w:hint="eastAsia" w:ascii="仿宋_GB2312" w:hAnsi="仿宋_GB2312" w:eastAsia="仿宋_GB2312" w:cs="仿宋_GB2312"/>
          <w:b w:val="0"/>
          <w:bCs w:val="0"/>
          <w:snapToGrid w:val="0"/>
          <w:color w:val="auto"/>
          <w:kern w:val="0"/>
          <w:sz w:val="32"/>
          <w:szCs w:val="32"/>
          <w:lang w:val="en-US" w:eastAsia="zh-CN"/>
        </w:rPr>
        <w:t>要深化一站式多元解纷和诉讼服务体系建设，切实加强诉源治理，更加有效预防和化解社会矛盾纠纷。要强化民生领域司法保障，妥善审理民生领域各类案件，切实维护群众合法权益。要健全执行长效机制，加大打击“老赖”力度，推进切实解决执行难工作。要充分发挥人民法庭在维护地方和谐稳定的职能作用，</w:t>
      </w:r>
      <w:r>
        <w:rPr>
          <w:rFonts w:hint="eastAsia" w:ascii="仿宋_GB2312" w:hAnsi="仿宋_GB2312" w:eastAsia="仿宋_GB2312" w:cs="仿宋_GB2312"/>
          <w:snapToGrid w:val="0"/>
          <w:color w:val="auto"/>
          <w:kern w:val="0"/>
          <w:sz w:val="32"/>
          <w:szCs w:val="32"/>
        </w:rPr>
        <w:t>服务乡村</w:t>
      </w:r>
      <w:r>
        <w:rPr>
          <w:rFonts w:hint="eastAsia" w:ascii="仿宋_GB2312" w:hAnsi="仿宋_GB2312" w:eastAsia="仿宋_GB2312" w:cs="仿宋_GB2312"/>
          <w:snapToGrid w:val="0"/>
          <w:color w:val="auto"/>
          <w:kern w:val="0"/>
          <w:sz w:val="32"/>
          <w:szCs w:val="32"/>
          <w:lang w:eastAsia="zh-CN"/>
        </w:rPr>
        <w:t>振兴</w:t>
      </w:r>
      <w:r>
        <w:rPr>
          <w:rFonts w:hint="eastAsia" w:ascii="仿宋_GB2312" w:hAnsi="仿宋_GB2312" w:eastAsia="仿宋_GB2312" w:cs="仿宋_GB2312"/>
          <w:b w:val="0"/>
          <w:bCs w:val="0"/>
          <w:snapToGrid w:val="0"/>
          <w:color w:val="auto"/>
          <w:kern w:val="0"/>
          <w:sz w:val="32"/>
          <w:szCs w:val="32"/>
          <w:lang w:val="en-US" w:eastAsia="zh-CN"/>
        </w:rPr>
        <w:t>。</w:t>
      </w:r>
    </w:p>
    <w:p>
      <w:pPr>
        <w:keepNext w:val="0"/>
        <w:keepLines w:val="0"/>
        <w:pageBreakBefore w:val="0"/>
        <w:widowControl/>
        <w:kinsoku/>
        <w:wordWrap/>
        <w:overflowPunct/>
        <w:topLinePunct w:val="0"/>
        <w:autoSpaceDE w:val="0"/>
        <w:autoSpaceDN w:val="0"/>
        <w:bidi w:val="0"/>
        <w:adjustRightInd w:val="0"/>
        <w:snapToGrid w:val="0"/>
        <w:spacing w:line="580" w:lineRule="exact"/>
        <w:ind w:left="0" w:leftChars="0" w:right="0" w:rightChars="0" w:firstLine="643" w:firstLineChars="200"/>
        <w:textAlignment w:val="auto"/>
        <w:outlineLvl w:val="9"/>
        <w:rPr>
          <w:rFonts w:hint="eastAsia" w:ascii="仿宋_GB2312" w:hAnsi="仿宋_GB2312" w:eastAsia="仿宋_GB2312" w:cs="仿宋_GB2312"/>
          <w:snapToGrid w:val="0"/>
          <w:color w:val="auto"/>
          <w:kern w:val="0"/>
          <w:sz w:val="32"/>
          <w:szCs w:val="32"/>
          <w:lang w:val="en-US" w:eastAsia="zh-CN"/>
        </w:rPr>
      </w:pPr>
      <w:r>
        <w:rPr>
          <w:rFonts w:hint="eastAsia" w:ascii="仿宋_GB2312" w:hAnsi="仿宋_GB2312" w:eastAsia="仿宋_GB2312" w:cs="仿宋_GB2312"/>
          <w:b/>
          <w:bCs/>
          <w:snapToGrid w:val="0"/>
          <w:color w:val="auto"/>
          <w:kern w:val="0"/>
          <w:sz w:val="32"/>
          <w:szCs w:val="32"/>
          <w:lang w:val="en-US" w:eastAsia="zh-CN"/>
        </w:rPr>
        <w:t>4、始终坚持改革创新，努力推进审判体系和审判能力现代化。</w:t>
      </w:r>
      <w:r>
        <w:rPr>
          <w:rFonts w:hint="eastAsia" w:ascii="仿宋_GB2312" w:hAnsi="仿宋_GB2312" w:eastAsia="仿宋_GB2312" w:cs="仿宋_GB2312"/>
          <w:snapToGrid w:val="0"/>
          <w:color w:val="auto"/>
          <w:kern w:val="0"/>
          <w:sz w:val="32"/>
          <w:szCs w:val="32"/>
        </w:rPr>
        <w:t>全面落实司法责任制，深化综合配套改革，</w:t>
      </w:r>
      <w:r>
        <w:rPr>
          <w:rFonts w:hint="eastAsia" w:ascii="仿宋_GB2312" w:hAnsi="仿宋_GB2312" w:eastAsia="仿宋_GB2312" w:cs="仿宋_GB2312"/>
          <w:snapToGrid w:val="0"/>
          <w:color w:val="auto"/>
          <w:kern w:val="0"/>
          <w:sz w:val="32"/>
          <w:szCs w:val="32"/>
          <w:lang w:val="en-US" w:eastAsia="zh-CN"/>
        </w:rPr>
        <w:t>进一步健全审判监督管理机制，落实员额法官办案责任制，推进员额法官晋升常态化。深化以审判为中心的诉讼制度改革，推进严格公正司法。完善“智慧法院”建设，推动大数据、人工智能等科技创新成果同司法工作深度融合</w:t>
      </w:r>
      <w:r>
        <w:rPr>
          <w:rFonts w:hint="eastAsia" w:ascii="仿宋_GB2312" w:hAnsi="仿宋_GB2312" w:eastAsia="仿宋_GB2312" w:cs="仿宋_GB2312"/>
          <w:snapToGrid w:val="0"/>
          <w:color w:val="auto"/>
          <w:kern w:val="0"/>
          <w:sz w:val="32"/>
          <w:szCs w:val="32"/>
        </w:rPr>
        <w:t>，推动审判体系和审判能力现代化，确保司法公正高效权威</w:t>
      </w:r>
      <w:r>
        <w:rPr>
          <w:rFonts w:hint="eastAsia" w:ascii="仿宋_GB2312" w:hAnsi="仿宋_GB2312" w:eastAsia="仿宋_GB2312" w:cs="仿宋_GB2312"/>
          <w:snapToGrid w:val="0"/>
          <w:color w:val="auto"/>
          <w:kern w:val="0"/>
          <w:sz w:val="32"/>
          <w:szCs w:val="32"/>
          <w:lang w:eastAsia="zh-CN"/>
        </w:rPr>
        <w:t>。</w:t>
      </w:r>
    </w:p>
    <w:p>
      <w:pPr>
        <w:keepNext w:val="0"/>
        <w:keepLines w:val="0"/>
        <w:pageBreakBefore w:val="0"/>
        <w:widowControl/>
        <w:kinsoku/>
        <w:wordWrap/>
        <w:overflowPunct/>
        <w:topLinePunct w:val="0"/>
        <w:autoSpaceDE w:val="0"/>
        <w:autoSpaceDN w:val="0"/>
        <w:bidi w:val="0"/>
        <w:adjustRightInd w:val="0"/>
        <w:snapToGrid w:val="0"/>
        <w:spacing w:line="580" w:lineRule="exact"/>
        <w:ind w:right="0" w:rightChars="0" w:firstLine="643" w:firstLineChars="200"/>
        <w:textAlignment w:val="auto"/>
        <w:outlineLvl w:val="9"/>
        <w:rPr>
          <w:rFonts w:hint="eastAsia" w:ascii="仿宋_GB2312" w:hAnsi="仿宋_GB2312" w:eastAsia="仿宋_GB2312" w:cs="仿宋_GB2312"/>
          <w:snapToGrid w:val="0"/>
          <w:color w:val="auto"/>
          <w:kern w:val="0"/>
          <w:sz w:val="32"/>
          <w:szCs w:val="32"/>
          <w:lang w:val="en-US" w:eastAsia="zh-CN"/>
        </w:rPr>
      </w:pPr>
      <w:r>
        <w:rPr>
          <w:rFonts w:hint="eastAsia" w:ascii="仿宋_GB2312" w:hAnsi="仿宋_GB2312" w:eastAsia="仿宋_GB2312" w:cs="仿宋_GB2312"/>
          <w:b/>
          <w:bCs/>
          <w:snapToGrid w:val="0"/>
          <w:color w:val="auto"/>
          <w:kern w:val="0"/>
          <w:sz w:val="32"/>
          <w:szCs w:val="32"/>
          <w:lang w:val="en-US" w:eastAsia="zh-CN"/>
        </w:rPr>
        <w:t>5、始终坚持全面从严治党，着力培养高素质审判队伍。</w:t>
      </w:r>
      <w:r>
        <w:rPr>
          <w:rFonts w:hint="eastAsia" w:ascii="仿宋_GB2312" w:hAnsi="仿宋_GB2312" w:eastAsia="仿宋_GB2312" w:cs="仿宋_GB2312"/>
          <w:snapToGrid w:val="0"/>
          <w:color w:val="auto"/>
          <w:kern w:val="0"/>
          <w:sz w:val="32"/>
          <w:szCs w:val="32"/>
          <w:lang w:val="en-US" w:eastAsia="zh-CN"/>
        </w:rPr>
        <w:t>坚持以党建带队建促审判，持续激励干警担当作为，形成重实干的鲜明用人导向。</w:t>
      </w:r>
      <w:r>
        <w:rPr>
          <w:rFonts w:hint="eastAsia" w:ascii="仿宋_GB2312" w:hAnsi="仿宋_GB2312" w:eastAsia="仿宋_GB2312" w:cs="仿宋_GB2312"/>
          <w:snapToGrid w:val="0"/>
          <w:color w:val="auto"/>
          <w:kern w:val="0"/>
          <w:sz w:val="32"/>
          <w:szCs w:val="32"/>
          <w:lang w:val="en-US" w:eastAsia="zh-CN" w:bidi="ar-SA"/>
        </w:rPr>
        <w:t>进一步严肃纪律要求，有效运用监督执纪的“四种形态”，始终保持惩治腐败的高压态势，对干警身边的腐败问题有案必查，有腐必反，推进全面从严治党走向深入。</w:t>
      </w:r>
    </w:p>
    <w:p>
      <w:pPr>
        <w:keepNext w:val="0"/>
        <w:keepLines w:val="0"/>
        <w:pageBreakBefore w:val="0"/>
        <w:widowControl/>
        <w:kinsoku/>
        <w:wordWrap/>
        <w:overflowPunct/>
        <w:topLinePunct w:val="0"/>
        <w:autoSpaceDE w:val="0"/>
        <w:autoSpaceDN w:val="0"/>
        <w:bidi w:val="0"/>
        <w:adjustRightInd w:val="0"/>
        <w:snapToGrid w:val="0"/>
        <w:spacing w:line="580" w:lineRule="exact"/>
        <w:ind w:right="0" w:rightChars="0" w:firstLine="643" w:firstLineChars="200"/>
        <w:textAlignment w:val="auto"/>
        <w:outlineLvl w:val="9"/>
        <w:rPr>
          <w:rFonts w:hint="eastAsia" w:ascii="仿宋_GB2312" w:hAnsi="仿宋_GB2312" w:eastAsia="仿宋_GB2312" w:cs="仿宋_GB2312"/>
          <w:snapToGrid w:val="0"/>
          <w:color w:val="auto"/>
          <w:kern w:val="0"/>
          <w:sz w:val="32"/>
          <w:szCs w:val="32"/>
          <w:lang w:val="en-US" w:eastAsia="zh-CN"/>
        </w:rPr>
      </w:pPr>
      <w:r>
        <w:rPr>
          <w:rFonts w:hint="eastAsia" w:ascii="仿宋_GB2312" w:hAnsi="仿宋_GB2312" w:eastAsia="仿宋_GB2312" w:cs="仿宋_GB2312"/>
          <w:b/>
          <w:bCs/>
          <w:snapToGrid w:val="0"/>
          <w:color w:val="auto"/>
          <w:kern w:val="0"/>
          <w:sz w:val="32"/>
          <w:szCs w:val="32"/>
          <w:lang w:val="en-US" w:eastAsia="zh-CN"/>
        </w:rPr>
        <w:t>6、始终坚持主动接受监督，加强和改进法院工作。</w:t>
      </w:r>
      <w:r>
        <w:rPr>
          <w:rFonts w:hint="eastAsia" w:ascii="仿宋_GB2312" w:hAnsi="仿宋_GB2312" w:eastAsia="仿宋_GB2312" w:cs="仿宋_GB2312"/>
          <w:snapToGrid w:val="0"/>
          <w:color w:val="auto"/>
          <w:kern w:val="0"/>
          <w:sz w:val="32"/>
          <w:szCs w:val="32"/>
          <w:lang w:val="en-US" w:eastAsia="zh-CN"/>
        </w:rPr>
        <w:t>自觉接受人大及其常委会监督，创新和完善接受代表监督方式。定期向人大及其常委会报告工作，执行人大及其常委会决议决定，不断完善与人大代表的日常联系机制，认真办理人大交办事项、代表意见建议。加强与政府、政协、纪委监委、检察院和社会各界的沟通联系，听取意见与建议，进一步改进法院工作。</w:t>
      </w:r>
    </w:p>
    <w:p>
      <w:pPr>
        <w:numPr>
          <w:ilvl w:val="0"/>
          <w:numId w:val="0"/>
        </w:numPr>
        <w:ind w:firstLine="643" w:firstLineChars="200"/>
        <w:jc w:val="left"/>
        <w:rPr>
          <w:rFonts w:ascii="仿宋" w:hAnsi="仿宋" w:eastAsia="仿宋"/>
          <w:bCs/>
          <w:sz w:val="32"/>
          <w:szCs w:val="32"/>
          <w:lang w:eastAsia="zh-CN"/>
        </w:rPr>
      </w:pPr>
      <w:r>
        <w:rPr>
          <w:rFonts w:hint="eastAsia" w:ascii="仿宋_GB2312" w:hAnsi="仿宋_GB2312" w:eastAsia="仿宋_GB2312" w:cs="仿宋_GB2312"/>
          <w:b/>
          <w:bCs/>
          <w:kern w:val="0"/>
          <w:sz w:val="32"/>
          <w:szCs w:val="32"/>
          <w:lang w:val="en-US" w:eastAsia="zh-CN"/>
        </w:rPr>
        <w:t>7、</w:t>
      </w:r>
      <w:r>
        <w:rPr>
          <w:rFonts w:hint="eastAsia" w:ascii="仿宋_GB2312" w:hAnsi="仿宋_GB2312" w:eastAsia="仿宋_GB2312" w:cs="仿宋_GB2312"/>
          <w:b/>
          <w:bCs/>
          <w:sz w:val="32"/>
          <w:szCs w:val="32"/>
          <w:lang w:val="en-US" w:eastAsia="zh-CN"/>
        </w:rPr>
        <w:t>继续加强</w:t>
      </w:r>
      <w:r>
        <w:rPr>
          <w:rFonts w:hint="eastAsia" w:ascii="仿宋_GB2312" w:hAnsi="仿宋_GB2312" w:eastAsia="仿宋_GB2312" w:cs="仿宋_GB2312"/>
          <w:b/>
          <w:bCs/>
          <w:sz w:val="32"/>
          <w:szCs w:val="32"/>
        </w:rPr>
        <w:t>基础建设和物资装备</w:t>
      </w:r>
      <w:r>
        <w:rPr>
          <w:rFonts w:hint="eastAsia" w:ascii="仿宋_GB2312" w:hAnsi="仿宋_GB2312" w:eastAsia="仿宋_GB2312" w:cs="仿宋_GB2312"/>
          <w:b/>
          <w:bCs/>
          <w:sz w:val="32"/>
          <w:szCs w:val="32"/>
          <w:lang w:eastAsia="zh-CN"/>
        </w:rPr>
        <w:t>工作</w:t>
      </w:r>
      <w:r>
        <w:rPr>
          <w:rFonts w:hint="eastAsia" w:ascii="仿宋_GB2312" w:hAnsi="仿宋_GB2312" w:eastAsia="仿宋_GB2312" w:cs="仿宋_GB2312"/>
          <w:sz w:val="32"/>
          <w:szCs w:val="32"/>
          <w:lang w:eastAsia="zh-CN"/>
        </w:rPr>
        <w:t>。配合院党组积极向上级部门和县委、县政府政府争取诉讼服务中心项目二次装修建设经费和诉讼服务中心信息化建设经费，力争</w:t>
      </w:r>
      <w:r>
        <w:rPr>
          <w:rFonts w:hint="eastAsia" w:ascii="仿宋_GB2312" w:hAnsi="仿宋_GB2312" w:eastAsia="仿宋_GB2312" w:cs="仿宋_GB2312"/>
          <w:sz w:val="32"/>
          <w:szCs w:val="32"/>
          <w:lang w:val="en-US" w:eastAsia="zh-CN"/>
        </w:rPr>
        <w:t>早日投入使用，通过高院的验收</w:t>
      </w:r>
      <w:r>
        <w:rPr>
          <w:rFonts w:hint="eastAsia" w:ascii="仿宋_GB2312" w:hAnsi="仿宋_GB2312" w:eastAsia="仿宋_GB2312" w:cs="仿宋_GB2312"/>
          <w:sz w:val="32"/>
          <w:szCs w:val="32"/>
          <w:lang w:eastAsia="zh-CN"/>
        </w:rPr>
        <w:t>。</w:t>
      </w:r>
    </w:p>
    <w:p>
      <w:pPr>
        <w:pStyle w:val="4"/>
        <w:spacing w:before="0" w:beforeAutospacing="0" w:after="0" w:afterAutospacing="0" w:line="560" w:lineRule="exact"/>
        <w:ind w:firstLine="643" w:firstLineChars="200"/>
        <w:jc w:val="both"/>
        <w:rPr>
          <w:rFonts w:hint="eastAsia" w:ascii="仿宋_GB2312" w:hAnsi="仿宋" w:eastAsia="仿宋_GB2312"/>
          <w:color w:val="000000"/>
          <w:sz w:val="32"/>
          <w:szCs w:val="32"/>
        </w:rPr>
      </w:pPr>
      <w:r>
        <w:rPr>
          <w:rFonts w:hint="eastAsia" w:ascii="黑体" w:hAnsi="黑体" w:eastAsia="黑体" w:cs="黑体"/>
          <w:b/>
          <w:bCs/>
          <w:color w:val="000000"/>
          <w:sz w:val="32"/>
          <w:szCs w:val="32"/>
        </w:rPr>
        <w:t>二、机构设置情况</w:t>
      </w:r>
    </w:p>
    <w:p>
      <w:pPr>
        <w:adjustRightInd w:val="0"/>
        <w:snapToGrid w:val="0"/>
        <w:spacing w:line="560" w:lineRule="exact"/>
        <w:ind w:right="-218" w:rightChars="-104" w:firstLine="640" w:firstLineChars="200"/>
        <w:rPr>
          <w:rFonts w:hint="eastAsia" w:ascii="仿宋_GB2312" w:hAnsi="华文仿宋" w:eastAsia="仿宋_GB2312"/>
          <w:sz w:val="32"/>
          <w:szCs w:val="32"/>
          <w:highlight w:val="cyan"/>
        </w:rPr>
      </w:pPr>
      <w:r>
        <w:rPr>
          <w:rFonts w:hint="eastAsia" w:ascii="仿宋_GB2312" w:hAnsi="仿宋_GB2312" w:eastAsia="仿宋_GB2312"/>
          <w:sz w:val="32"/>
          <w:szCs w:val="22"/>
          <w:lang w:eastAsia="zh-CN"/>
        </w:rPr>
        <w:t>我院为广西法院检察院财物统一管理改革试点单位，从</w:t>
      </w:r>
      <w:r>
        <w:rPr>
          <w:rFonts w:hint="eastAsia" w:ascii="仿宋_GB2312" w:hAnsi="仿宋_GB2312" w:eastAsia="仿宋_GB2312"/>
          <w:sz w:val="32"/>
          <w:szCs w:val="22"/>
          <w:lang w:val="en-US" w:eastAsia="zh-CN"/>
        </w:rPr>
        <w:t>2020年起我</w:t>
      </w:r>
      <w:r>
        <w:rPr>
          <w:rFonts w:hint="eastAsia" w:ascii="仿宋_GB2312" w:hAnsi="仿宋_GB2312" w:eastAsia="仿宋_GB2312"/>
          <w:sz w:val="32"/>
          <w:szCs w:val="22"/>
        </w:rPr>
        <w:t>院作为市中级</w:t>
      </w:r>
      <w:r>
        <w:rPr>
          <w:rFonts w:hint="eastAsia" w:ascii="仿宋_GB2312" w:hAnsi="仿宋_GB2312" w:eastAsia="仿宋_GB2312"/>
          <w:sz w:val="32"/>
          <w:szCs w:val="22"/>
          <w:lang w:val="en-US" w:eastAsia="zh-CN"/>
        </w:rPr>
        <w:t>人民</w:t>
      </w:r>
      <w:r>
        <w:rPr>
          <w:rFonts w:hint="eastAsia" w:ascii="仿宋_GB2312" w:hAnsi="仿宋_GB2312" w:eastAsia="仿宋_GB2312"/>
          <w:sz w:val="32"/>
          <w:szCs w:val="22"/>
        </w:rPr>
        <w:t>法院二级预算单位</w:t>
      </w:r>
      <w:r>
        <w:rPr>
          <w:rFonts w:hint="eastAsia" w:ascii="仿宋_GB2312" w:hAnsi="仿宋_GB2312" w:eastAsia="仿宋_GB2312"/>
          <w:sz w:val="32"/>
          <w:szCs w:val="22"/>
          <w:lang w:eastAsia="zh-CN"/>
        </w:rPr>
        <w:t>进行管理。</w:t>
      </w:r>
      <w:r>
        <w:rPr>
          <w:rFonts w:hint="eastAsia" w:ascii="仿宋" w:hAnsi="仿宋" w:eastAsia="仿宋"/>
          <w:sz w:val="32"/>
          <w:szCs w:val="32"/>
          <w:lang w:eastAsia="zh-CN"/>
        </w:rPr>
        <w:t>我院</w:t>
      </w:r>
      <w:r>
        <w:rPr>
          <w:rFonts w:hint="eastAsia" w:ascii="仿宋_GB2312" w:hAnsi="仿宋" w:eastAsia="仿宋_GB2312"/>
          <w:color w:val="000000"/>
          <w:sz w:val="32"/>
          <w:szCs w:val="32"/>
        </w:rPr>
        <w:t>内设</w:t>
      </w:r>
      <w:r>
        <w:rPr>
          <w:rFonts w:hint="eastAsia" w:ascii="仿宋_GB2312" w:hAnsi="仿宋" w:eastAsia="仿宋_GB2312"/>
          <w:color w:val="000000"/>
          <w:sz w:val="32"/>
          <w:szCs w:val="32"/>
          <w:lang w:val="en-US" w:eastAsia="zh-CN"/>
        </w:rPr>
        <w:t>9</w:t>
      </w:r>
      <w:r>
        <w:rPr>
          <w:rFonts w:hint="eastAsia" w:ascii="仿宋_GB2312" w:hAnsi="仿宋" w:eastAsia="仿宋_GB2312"/>
          <w:color w:val="000000"/>
          <w:sz w:val="32"/>
          <w:szCs w:val="32"/>
        </w:rPr>
        <w:t>个职能科室</w:t>
      </w:r>
      <w:r>
        <w:rPr>
          <w:rFonts w:hint="eastAsia" w:ascii="仿宋_GB2312" w:hAnsi="仿宋" w:eastAsia="仿宋_GB2312"/>
          <w:color w:val="000000"/>
          <w:sz w:val="32"/>
          <w:szCs w:val="32"/>
          <w:lang w:eastAsia="zh-CN"/>
        </w:rPr>
        <w:t>：立案庭（诉讼服务中心）、刑事审判庭、民事审判庭、综合审判庭、执行局、政治部、综合办公室、审判管理办公室（研究室）、司法警察大队</w:t>
      </w:r>
      <w:r>
        <w:rPr>
          <w:rFonts w:hint="eastAsia" w:ascii="仿宋_GB2312" w:hAnsi="仿宋" w:eastAsia="仿宋_GB2312"/>
          <w:color w:val="000000"/>
          <w:sz w:val="32"/>
          <w:szCs w:val="32"/>
        </w:rPr>
        <w:t>，下设2个</w:t>
      </w:r>
      <w:r>
        <w:rPr>
          <w:rFonts w:hint="eastAsia" w:ascii="仿宋_GB2312" w:hAnsi="仿宋" w:eastAsia="仿宋_GB2312"/>
          <w:color w:val="000000"/>
          <w:sz w:val="32"/>
          <w:szCs w:val="32"/>
          <w:lang w:eastAsia="zh-CN"/>
        </w:rPr>
        <w:t>派出机构</w:t>
      </w:r>
      <w:r>
        <w:rPr>
          <w:rFonts w:hint="eastAsia" w:ascii="仿宋_GB2312" w:hAnsi="仿宋" w:eastAsia="仿宋_GB2312"/>
          <w:color w:val="000000"/>
          <w:sz w:val="32"/>
          <w:szCs w:val="32"/>
        </w:rPr>
        <w:t>(斗江法庭,良口法庭)。</w:t>
      </w:r>
    </w:p>
    <w:p>
      <w:pPr>
        <w:pStyle w:val="4"/>
        <w:spacing w:before="0" w:beforeAutospacing="0" w:after="0" w:afterAutospacing="0" w:line="540" w:lineRule="exact"/>
        <w:jc w:val="both"/>
        <w:rPr>
          <w:rFonts w:hint="eastAsia" w:ascii="仿宋_GB2312" w:hAnsi="华文仿宋" w:eastAsia="仿宋_GB2312"/>
          <w:color w:val="000000"/>
          <w:sz w:val="32"/>
          <w:szCs w:val="32"/>
        </w:rPr>
      </w:pPr>
    </w:p>
    <w:p>
      <w:pPr>
        <w:pStyle w:val="4"/>
        <w:spacing w:before="0" w:beforeAutospacing="0" w:after="0" w:afterAutospacing="0" w:line="560" w:lineRule="exact"/>
        <w:jc w:val="center"/>
        <w:rPr>
          <w:rFonts w:hint="eastAsia" w:ascii="仿宋_GB2312" w:hAnsi="华文仿宋" w:eastAsia="仿宋_GB2312"/>
          <w:b/>
          <w:bCs/>
          <w:color w:val="000000"/>
          <w:sz w:val="32"/>
          <w:szCs w:val="32"/>
        </w:rPr>
      </w:pPr>
      <w:r>
        <w:rPr>
          <w:rFonts w:hint="eastAsia" w:ascii="仿宋_GB2312" w:hAnsi="华文仿宋" w:eastAsia="仿宋_GB2312"/>
          <w:b/>
          <w:bCs/>
          <w:color w:val="000000"/>
          <w:sz w:val="32"/>
          <w:szCs w:val="32"/>
        </w:rPr>
        <w:t>第二</w:t>
      </w:r>
      <w:r>
        <w:rPr>
          <w:rFonts w:hint="eastAsia" w:ascii="仿宋_GB2312" w:hAnsi="华文仿宋" w:eastAsia="仿宋_GB2312"/>
          <w:b/>
          <w:bCs/>
          <w:color w:val="000000"/>
          <w:sz w:val="32"/>
          <w:szCs w:val="32"/>
          <w:highlight w:val="none"/>
        </w:rPr>
        <w:t>部分：</w:t>
      </w:r>
      <w:r>
        <w:rPr>
          <w:rStyle w:val="7"/>
          <w:rFonts w:hint="eastAsia" w:ascii="仿宋_GB2312" w:hAnsi="华文仿宋" w:eastAsia="仿宋_GB2312"/>
          <w:color w:val="000000"/>
          <w:sz w:val="32"/>
          <w:szCs w:val="32"/>
          <w:highlight w:val="none"/>
          <w:lang w:eastAsia="zh-CN"/>
        </w:rPr>
        <w:t>柳州市</w:t>
      </w:r>
      <w:r>
        <w:rPr>
          <w:rFonts w:hint="eastAsia" w:ascii="仿宋_GB2312" w:hAnsi="华文仿宋" w:eastAsia="仿宋_GB2312"/>
          <w:b/>
          <w:bCs/>
          <w:color w:val="000000"/>
          <w:sz w:val="32"/>
          <w:szCs w:val="32"/>
          <w:highlight w:val="none"/>
          <w:lang w:eastAsia="zh-CN"/>
        </w:rPr>
        <w:t>三江</w:t>
      </w:r>
      <w:r>
        <w:rPr>
          <w:rFonts w:hint="eastAsia" w:ascii="仿宋_GB2312" w:hAnsi="华文仿宋" w:eastAsia="仿宋_GB2312"/>
          <w:b/>
          <w:bCs/>
          <w:color w:val="000000"/>
          <w:sz w:val="32"/>
          <w:szCs w:val="32"/>
          <w:lang w:eastAsia="zh-CN"/>
        </w:rPr>
        <w:t>侗族自治县人民</w:t>
      </w:r>
      <w:r>
        <w:rPr>
          <w:rFonts w:hint="eastAsia" w:ascii="仿宋_GB2312" w:hAnsi="华文仿宋" w:eastAsia="仿宋_GB2312"/>
          <w:b/>
          <w:bCs/>
          <w:color w:val="000000"/>
          <w:sz w:val="32"/>
          <w:szCs w:val="32"/>
        </w:rPr>
        <w:t>法院2021年预算报表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一、单位收支总体情况表（预算公开01表）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二、单位收入总体情况表（预算公开02表）</w:t>
      </w:r>
    </w:p>
    <w:p>
      <w:pPr>
        <w:pStyle w:val="4"/>
        <w:spacing w:before="0" w:beforeAutospacing="0" w:after="0" w:afterAutospacing="0" w:line="560" w:lineRule="exact"/>
        <w:ind w:firstLine="640" w:firstLineChars="200"/>
        <w:rPr>
          <w:rFonts w:hint="eastAsia" w:ascii="仿宋_GB2312" w:hAnsi="华文仿宋" w:eastAsia="仿宋_GB2312"/>
          <w:b/>
          <w:bCs/>
          <w:color w:val="000000"/>
          <w:sz w:val="32"/>
          <w:szCs w:val="32"/>
        </w:rPr>
      </w:pPr>
      <w:r>
        <w:rPr>
          <w:rFonts w:hint="eastAsia" w:ascii="仿宋_GB2312" w:hAnsi="华文仿宋" w:eastAsia="仿宋_GB2312"/>
          <w:bCs/>
          <w:color w:val="000000"/>
          <w:sz w:val="32"/>
          <w:szCs w:val="32"/>
        </w:rPr>
        <w:t>三、单位支出总体情况表（预算公开03表）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四、财政拨款收支总体情况表（预算公开04表）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五、一般公共预算支出情况表（预算公开05表）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六、一般公共预算基本支出情况表（预算公开06表）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七、一般公共预算“三公”经费支出情况表（预算公开07表）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八、政府性基金预算支出情况表（预算公开08表）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九、国有资本经营预算支出情况表（预算公开09表）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十、政府采购预算表（预算公开10表）</w:t>
      </w:r>
    </w:p>
    <w:p>
      <w:pPr>
        <w:pStyle w:val="4"/>
        <w:spacing w:before="0" w:beforeAutospacing="0" w:after="0" w:afterAutospacing="0" w:line="560" w:lineRule="exact"/>
        <w:ind w:firstLine="640" w:firstLineChars="200"/>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十一、政府购买服务预算表（预算公开11表）</w:t>
      </w:r>
    </w:p>
    <w:p>
      <w:pPr>
        <w:pStyle w:val="4"/>
        <w:spacing w:before="0" w:beforeAutospacing="0" w:after="0" w:afterAutospacing="0" w:line="560" w:lineRule="exact"/>
        <w:jc w:val="center"/>
        <w:rPr>
          <w:rFonts w:hint="eastAsia" w:ascii="仿宋_GB2312" w:hAnsi="华文仿宋" w:eastAsia="仿宋_GB2312"/>
          <w:sz w:val="32"/>
          <w:szCs w:val="32"/>
          <w:highlight w:val="cyan"/>
        </w:rPr>
      </w:pPr>
      <w:r>
        <w:rPr>
          <w:rFonts w:hint="eastAsia" w:ascii="仿宋_GB2312" w:hAnsi="华文仿宋" w:eastAsia="仿宋_GB2312"/>
          <w:b/>
          <w:bCs/>
          <w:sz w:val="32"/>
          <w:szCs w:val="32"/>
        </w:rPr>
        <w:t>上述报表详见附件。</w:t>
      </w:r>
    </w:p>
    <w:p>
      <w:pPr>
        <w:pStyle w:val="4"/>
        <w:spacing w:before="0" w:beforeAutospacing="0" w:after="0" w:afterAutospacing="0" w:line="560" w:lineRule="exact"/>
        <w:jc w:val="both"/>
        <w:rPr>
          <w:rFonts w:hint="eastAsia" w:ascii="仿宋_GB2312" w:hAnsi="华文仿宋" w:eastAsia="仿宋_GB2312"/>
          <w:b/>
          <w:bCs/>
          <w:color w:val="000000"/>
          <w:sz w:val="32"/>
          <w:szCs w:val="32"/>
        </w:rPr>
      </w:pPr>
    </w:p>
    <w:p>
      <w:pPr>
        <w:pStyle w:val="4"/>
        <w:spacing w:before="0" w:beforeAutospacing="0" w:after="0" w:afterAutospacing="0" w:line="560" w:lineRule="exact"/>
        <w:jc w:val="both"/>
        <w:rPr>
          <w:rFonts w:hint="eastAsia" w:ascii="仿宋_GB2312" w:hAnsi="华文仿宋" w:eastAsia="仿宋_GB2312"/>
          <w:b/>
          <w:bCs/>
          <w:color w:val="000000"/>
          <w:sz w:val="32"/>
          <w:szCs w:val="32"/>
        </w:rPr>
      </w:pPr>
    </w:p>
    <w:p>
      <w:pPr>
        <w:pStyle w:val="4"/>
        <w:spacing w:before="0" w:beforeAutospacing="0" w:after="0" w:afterAutospacing="0" w:line="560" w:lineRule="exact"/>
        <w:jc w:val="center"/>
        <w:rPr>
          <w:rFonts w:hint="eastAsia" w:ascii="仿宋_GB2312" w:hAnsi="华文仿宋" w:eastAsia="仿宋_GB2312" w:cs="Times New Roman"/>
          <w:b/>
          <w:bCs/>
          <w:color w:val="000000"/>
          <w:kern w:val="2"/>
          <w:sz w:val="32"/>
          <w:szCs w:val="32"/>
          <w:highlight w:val="none"/>
        </w:rPr>
      </w:pPr>
      <w:r>
        <w:rPr>
          <w:rFonts w:hint="eastAsia" w:ascii="仿宋_GB2312" w:hAnsi="华文仿宋" w:eastAsia="仿宋_GB2312" w:cs="Times New Roman"/>
          <w:b/>
          <w:bCs/>
          <w:color w:val="000000"/>
          <w:kern w:val="2"/>
          <w:sz w:val="32"/>
          <w:szCs w:val="32"/>
          <w:highlight w:val="none"/>
        </w:rPr>
        <w:t>第三部分：</w:t>
      </w:r>
      <w:r>
        <w:rPr>
          <w:rStyle w:val="7"/>
          <w:rFonts w:hint="eastAsia" w:ascii="仿宋_GB2312" w:hAnsi="华文仿宋" w:eastAsia="仿宋_GB2312"/>
          <w:color w:val="000000"/>
          <w:sz w:val="32"/>
          <w:szCs w:val="32"/>
          <w:highlight w:val="none"/>
          <w:lang w:eastAsia="zh-CN"/>
        </w:rPr>
        <w:t>柳州市</w:t>
      </w:r>
      <w:r>
        <w:rPr>
          <w:rFonts w:hint="eastAsia" w:ascii="仿宋_GB2312" w:hAnsi="华文仿宋" w:eastAsia="仿宋_GB2312"/>
          <w:b/>
          <w:bCs/>
          <w:color w:val="000000"/>
          <w:sz w:val="32"/>
          <w:szCs w:val="32"/>
          <w:highlight w:val="none"/>
          <w:lang w:eastAsia="zh-CN"/>
        </w:rPr>
        <w:t>三江侗族自治县人民</w:t>
      </w:r>
      <w:r>
        <w:rPr>
          <w:rFonts w:hint="eastAsia" w:ascii="仿宋_GB2312" w:hAnsi="华文仿宋" w:eastAsia="仿宋_GB2312" w:cs="Times New Roman"/>
          <w:b/>
          <w:bCs/>
          <w:color w:val="000000"/>
          <w:kern w:val="2"/>
          <w:sz w:val="32"/>
          <w:szCs w:val="32"/>
          <w:highlight w:val="none"/>
        </w:rPr>
        <w:t>法院2021年预算情况说明</w:t>
      </w:r>
    </w:p>
    <w:p>
      <w:pPr>
        <w:tabs>
          <w:tab w:val="center" w:pos="4475"/>
        </w:tabs>
        <w:spacing w:line="560" w:lineRule="exact"/>
        <w:ind w:firstLine="645"/>
        <w:rPr>
          <w:rFonts w:hint="eastAsia" w:ascii="黑体" w:hAnsi="黑体" w:eastAsia="黑体" w:cs="黑体"/>
          <w:b/>
          <w:bCs/>
          <w:color w:val="000000"/>
          <w:kern w:val="0"/>
          <w:sz w:val="32"/>
          <w:szCs w:val="32"/>
        </w:rPr>
      </w:pPr>
      <w:r>
        <w:rPr>
          <w:rFonts w:hint="eastAsia" w:ascii="黑体" w:hAnsi="黑体" w:eastAsia="黑体" w:cs="黑体"/>
          <w:b/>
          <w:bCs/>
          <w:color w:val="000000"/>
          <w:kern w:val="0"/>
          <w:sz w:val="32"/>
          <w:szCs w:val="32"/>
        </w:rPr>
        <w:t>一、单位收支预算情况说明</w:t>
      </w:r>
    </w:p>
    <w:p>
      <w:pPr>
        <w:pStyle w:val="4"/>
        <w:spacing w:before="0" w:beforeAutospacing="0" w:after="0" w:afterAutospacing="0"/>
        <w:ind w:firstLine="640" w:firstLineChars="200"/>
        <w:rPr>
          <w:rFonts w:hint="eastAsia" w:ascii="仿宋_GB2312" w:hAnsi="华文仿宋" w:eastAsia="仿宋_GB2312" w:cs="Times New Roman"/>
          <w:kern w:val="2"/>
          <w:sz w:val="32"/>
          <w:szCs w:val="32"/>
        </w:rPr>
      </w:pPr>
      <w:r>
        <w:rPr>
          <w:rFonts w:hint="eastAsia" w:ascii="仿宋_GB2312" w:hAnsi="华文仿宋" w:eastAsia="仿宋_GB2312" w:cs="Times New Roman"/>
          <w:kern w:val="2"/>
          <w:sz w:val="32"/>
          <w:szCs w:val="32"/>
        </w:rPr>
        <w:t>2021年单位收支总预算</w:t>
      </w:r>
      <w:r>
        <w:rPr>
          <w:rFonts w:hint="eastAsia" w:ascii="仿宋_GB2312" w:hAnsi="华文仿宋" w:eastAsia="仿宋_GB2312" w:cs="Times New Roman"/>
          <w:kern w:val="2"/>
          <w:sz w:val="32"/>
          <w:szCs w:val="32"/>
          <w:lang w:val="en-US" w:eastAsia="zh-CN"/>
        </w:rPr>
        <w:t>1481.27</w:t>
      </w:r>
      <w:r>
        <w:rPr>
          <w:rFonts w:hint="eastAsia" w:ascii="仿宋_GB2312" w:hAnsi="华文仿宋" w:eastAsia="仿宋_GB2312" w:cs="Times New Roman"/>
          <w:kern w:val="2"/>
          <w:sz w:val="32"/>
          <w:szCs w:val="32"/>
        </w:rPr>
        <w:t>万元，同比增</w:t>
      </w:r>
      <w:r>
        <w:rPr>
          <w:rFonts w:hint="eastAsia" w:ascii="仿宋_GB2312" w:hAnsi="华文仿宋" w:eastAsia="仿宋_GB2312" w:cs="Times New Roman"/>
          <w:kern w:val="2"/>
          <w:sz w:val="32"/>
          <w:szCs w:val="32"/>
          <w:lang w:eastAsia="zh-CN"/>
        </w:rPr>
        <w:t>加</w:t>
      </w:r>
      <w:r>
        <w:rPr>
          <w:rFonts w:hint="eastAsia" w:ascii="仿宋_GB2312" w:hAnsi="华文仿宋" w:eastAsia="仿宋_GB2312" w:cs="Times New Roman"/>
          <w:kern w:val="2"/>
          <w:sz w:val="32"/>
          <w:szCs w:val="32"/>
          <w:lang w:val="en-US" w:eastAsia="zh-CN"/>
        </w:rPr>
        <w:t>1481.27</w:t>
      </w:r>
      <w:r>
        <w:rPr>
          <w:rFonts w:hint="eastAsia" w:ascii="仿宋_GB2312" w:hAnsi="华文仿宋" w:eastAsia="仿宋_GB2312" w:cs="Times New Roman"/>
          <w:kern w:val="2"/>
          <w:sz w:val="32"/>
          <w:szCs w:val="32"/>
        </w:rPr>
        <w:t>万元，同比增长</w:t>
      </w:r>
      <w:r>
        <w:rPr>
          <w:rFonts w:hint="eastAsia" w:ascii="仿宋_GB2312" w:hAnsi="华文仿宋" w:eastAsia="仿宋_GB2312" w:cs="Times New Roman"/>
          <w:kern w:val="2"/>
          <w:sz w:val="32"/>
          <w:szCs w:val="32"/>
          <w:lang w:val="en-US" w:eastAsia="zh-CN"/>
        </w:rPr>
        <w:t>100</w:t>
      </w:r>
      <w:r>
        <w:rPr>
          <w:rFonts w:hint="eastAsia" w:ascii="仿宋_GB2312" w:hAnsi="华文仿宋" w:eastAsia="仿宋_GB2312" w:cs="Times New Roman"/>
          <w:kern w:val="2"/>
          <w:sz w:val="32"/>
          <w:szCs w:val="32"/>
        </w:rPr>
        <w:t>%，收入包括：一般公共财政预算拨款</w:t>
      </w:r>
      <w:r>
        <w:rPr>
          <w:rFonts w:hint="eastAsia" w:ascii="仿宋_GB2312" w:hAnsi="华文仿宋" w:eastAsia="仿宋_GB2312" w:cs="Times New Roman"/>
          <w:kern w:val="2"/>
          <w:sz w:val="32"/>
          <w:szCs w:val="32"/>
          <w:lang w:eastAsia="zh-CN"/>
        </w:rPr>
        <w:t>；</w:t>
      </w:r>
      <w:r>
        <w:rPr>
          <w:rFonts w:hint="eastAsia" w:ascii="仿宋_GB2312" w:hAnsi="华文仿宋" w:eastAsia="仿宋_GB2312" w:cs="Times New Roman"/>
          <w:kern w:val="2"/>
          <w:sz w:val="32"/>
          <w:szCs w:val="32"/>
        </w:rPr>
        <w:t>支出包括：</w:t>
      </w:r>
      <w:r>
        <w:rPr>
          <w:rFonts w:hint="eastAsia" w:ascii="仿宋_GB2312" w:hAnsi="华文仿宋" w:eastAsia="仿宋_GB2312" w:cs="Times New Roman"/>
          <w:kern w:val="2"/>
          <w:sz w:val="32"/>
          <w:szCs w:val="32"/>
          <w:lang w:eastAsia="zh-CN"/>
        </w:rPr>
        <w:t>公共安全支出</w:t>
      </w:r>
      <w:r>
        <w:rPr>
          <w:rFonts w:hint="eastAsia" w:ascii="仿宋_GB2312" w:hAnsi="华文仿宋" w:eastAsia="仿宋_GB2312" w:cs="Times New Roman"/>
          <w:kern w:val="2"/>
          <w:sz w:val="32"/>
          <w:szCs w:val="32"/>
        </w:rPr>
        <w:t>、社会保障和就业支出、卫生健康支出、住房保障支出。</w:t>
      </w:r>
    </w:p>
    <w:p>
      <w:pPr>
        <w:tabs>
          <w:tab w:val="center" w:pos="4475"/>
        </w:tabs>
        <w:spacing w:line="560" w:lineRule="exact"/>
        <w:ind w:firstLine="645"/>
        <w:rPr>
          <w:rFonts w:hint="eastAsia" w:ascii="黑体" w:hAnsi="黑体" w:eastAsia="黑体" w:cs="黑体"/>
          <w:b/>
          <w:bCs/>
          <w:color w:val="000000"/>
          <w:kern w:val="0"/>
          <w:sz w:val="32"/>
          <w:szCs w:val="32"/>
        </w:rPr>
      </w:pPr>
      <w:r>
        <w:rPr>
          <w:rFonts w:hint="eastAsia" w:ascii="黑体" w:hAnsi="黑体" w:eastAsia="黑体" w:cs="黑体"/>
          <w:b/>
          <w:bCs/>
          <w:color w:val="000000"/>
          <w:kern w:val="0"/>
          <w:sz w:val="32"/>
          <w:szCs w:val="32"/>
        </w:rPr>
        <w:t>二、单位收入预算情况说明</w:t>
      </w:r>
    </w:p>
    <w:p>
      <w:pPr>
        <w:spacing w:line="560" w:lineRule="exact"/>
        <w:ind w:firstLine="640" w:firstLineChars="200"/>
        <w:rPr>
          <w:rFonts w:hint="eastAsia" w:ascii="仿宋_GB2312" w:hAnsi="华文仿宋" w:eastAsia="仿宋_GB2312"/>
          <w:sz w:val="32"/>
          <w:szCs w:val="32"/>
        </w:rPr>
      </w:pPr>
      <w:r>
        <w:rPr>
          <w:rFonts w:hint="eastAsia" w:ascii="仿宋_GB2312" w:hAnsi="华文仿宋" w:eastAsia="仿宋_GB2312"/>
          <w:color w:val="000000"/>
          <w:sz w:val="32"/>
          <w:szCs w:val="32"/>
        </w:rPr>
        <w:t>2021年单位收入总预算</w:t>
      </w:r>
      <w:r>
        <w:rPr>
          <w:rFonts w:hint="eastAsia" w:ascii="仿宋_GB2312" w:hAnsi="华文仿宋" w:eastAsia="仿宋_GB2312"/>
          <w:color w:val="000000"/>
          <w:sz w:val="32"/>
          <w:szCs w:val="32"/>
          <w:lang w:val="en-US" w:eastAsia="zh-CN"/>
        </w:rPr>
        <w:t>1481.27</w:t>
      </w:r>
      <w:r>
        <w:rPr>
          <w:rFonts w:hint="eastAsia" w:ascii="仿宋_GB2312" w:hAnsi="华文仿宋" w:eastAsia="仿宋_GB2312"/>
          <w:color w:val="000000"/>
          <w:sz w:val="32"/>
          <w:szCs w:val="32"/>
        </w:rPr>
        <w:t>万元，</w:t>
      </w:r>
      <w:r>
        <w:rPr>
          <w:rFonts w:hint="eastAsia" w:ascii="仿宋_GB2312" w:hAnsi="华文仿宋" w:eastAsia="仿宋_GB2312"/>
          <w:sz w:val="32"/>
          <w:szCs w:val="32"/>
        </w:rPr>
        <w:t>同比增加</w:t>
      </w:r>
      <w:r>
        <w:rPr>
          <w:rFonts w:hint="eastAsia" w:ascii="仿宋_GB2312" w:hAnsi="华文仿宋" w:eastAsia="仿宋_GB2312"/>
          <w:sz w:val="32"/>
          <w:szCs w:val="32"/>
          <w:lang w:val="en-US" w:eastAsia="zh-CN"/>
        </w:rPr>
        <w:t>1481.27</w:t>
      </w:r>
      <w:r>
        <w:rPr>
          <w:rFonts w:hint="eastAsia" w:ascii="仿宋_GB2312" w:hAnsi="华文仿宋" w:eastAsia="仿宋_GB2312"/>
          <w:sz w:val="32"/>
          <w:szCs w:val="32"/>
        </w:rPr>
        <w:t>万元，同比增长</w:t>
      </w:r>
      <w:r>
        <w:rPr>
          <w:rFonts w:hint="eastAsia" w:ascii="仿宋_GB2312" w:hAnsi="华文仿宋" w:eastAsia="仿宋_GB2312"/>
          <w:sz w:val="32"/>
          <w:szCs w:val="32"/>
          <w:lang w:val="en-US" w:eastAsia="zh-CN"/>
        </w:rPr>
        <w:t>100</w:t>
      </w:r>
      <w:r>
        <w:rPr>
          <w:rFonts w:hint="eastAsia" w:ascii="仿宋_GB2312" w:hAnsi="华文仿宋" w:eastAsia="仿宋_GB2312"/>
          <w:sz w:val="32"/>
          <w:szCs w:val="32"/>
        </w:rPr>
        <w:t>%。其中：</w:t>
      </w:r>
    </w:p>
    <w:p>
      <w:pPr>
        <w:spacing w:line="560" w:lineRule="exact"/>
        <w:ind w:firstLine="640" w:firstLineChars="200"/>
        <w:rPr>
          <w:rFonts w:hint="eastAsia" w:ascii="仿宋_GB2312" w:hAnsi="华文仿宋" w:eastAsia="仿宋_GB2312" w:cs="宋体"/>
          <w:sz w:val="32"/>
          <w:szCs w:val="32"/>
        </w:rPr>
      </w:pPr>
      <w:r>
        <w:rPr>
          <w:rFonts w:hint="eastAsia" w:ascii="仿宋_GB2312" w:hAnsi="华文仿宋" w:eastAsia="仿宋_GB2312"/>
          <w:sz w:val="32"/>
          <w:szCs w:val="32"/>
        </w:rPr>
        <w:t>（一）</w:t>
      </w:r>
      <w:r>
        <w:rPr>
          <w:rFonts w:hint="eastAsia" w:ascii="仿宋_GB2312" w:hAnsi="华文仿宋" w:eastAsia="仿宋_GB2312"/>
          <w:color w:val="000000"/>
          <w:sz w:val="32"/>
          <w:szCs w:val="32"/>
        </w:rPr>
        <w:t>一般公共财政预算拨款</w:t>
      </w:r>
      <w:r>
        <w:rPr>
          <w:rFonts w:hint="eastAsia" w:ascii="仿宋_GB2312" w:hAnsi="华文仿宋" w:eastAsia="仿宋_GB2312"/>
          <w:color w:val="000000"/>
          <w:sz w:val="32"/>
          <w:szCs w:val="32"/>
          <w:lang w:val="en-US" w:eastAsia="zh-CN"/>
        </w:rPr>
        <w:t>1481.27</w:t>
      </w:r>
      <w:r>
        <w:rPr>
          <w:rFonts w:hint="eastAsia" w:ascii="仿宋_GB2312" w:hAnsi="华文仿宋" w:eastAsia="仿宋_GB2312"/>
          <w:color w:val="000000"/>
          <w:sz w:val="32"/>
          <w:szCs w:val="32"/>
        </w:rPr>
        <w:t>万元，</w:t>
      </w:r>
      <w:r>
        <w:rPr>
          <w:rFonts w:hint="eastAsia" w:ascii="仿宋_GB2312" w:hAnsi="华文仿宋" w:eastAsia="仿宋_GB2312"/>
          <w:sz w:val="32"/>
          <w:szCs w:val="32"/>
        </w:rPr>
        <w:t>占收入总预算</w:t>
      </w:r>
      <w:r>
        <w:rPr>
          <w:rFonts w:hint="eastAsia" w:ascii="仿宋_GB2312" w:hAnsi="华文仿宋" w:eastAsia="仿宋_GB2312"/>
          <w:sz w:val="32"/>
          <w:szCs w:val="32"/>
          <w:lang w:val="en-US" w:eastAsia="zh-CN"/>
        </w:rPr>
        <w:t>100</w:t>
      </w:r>
      <w:r>
        <w:rPr>
          <w:rFonts w:hint="eastAsia" w:ascii="仿宋_GB2312" w:hAnsi="华文仿宋" w:eastAsia="仿宋_GB2312"/>
          <w:sz w:val="32"/>
          <w:szCs w:val="32"/>
        </w:rPr>
        <w:t>%,同比增加</w:t>
      </w:r>
      <w:r>
        <w:rPr>
          <w:rFonts w:hint="eastAsia" w:ascii="仿宋_GB2312" w:hAnsi="华文仿宋" w:eastAsia="仿宋_GB2312"/>
          <w:color w:val="000000"/>
          <w:sz w:val="32"/>
          <w:szCs w:val="32"/>
          <w:lang w:val="en-US" w:eastAsia="zh-CN"/>
        </w:rPr>
        <w:t>1481.27</w:t>
      </w:r>
      <w:r>
        <w:rPr>
          <w:rFonts w:hint="eastAsia" w:ascii="仿宋_GB2312" w:hAnsi="华文仿宋" w:eastAsia="仿宋_GB2312"/>
          <w:sz w:val="32"/>
          <w:szCs w:val="32"/>
        </w:rPr>
        <w:t>万元，同比增长</w:t>
      </w:r>
      <w:r>
        <w:rPr>
          <w:rFonts w:hint="eastAsia" w:ascii="仿宋_GB2312" w:hAnsi="华文仿宋" w:eastAsia="仿宋_GB2312"/>
          <w:sz w:val="32"/>
          <w:szCs w:val="32"/>
          <w:lang w:val="en-US" w:eastAsia="zh-CN"/>
        </w:rPr>
        <w:t>100</w:t>
      </w:r>
      <w:r>
        <w:rPr>
          <w:rFonts w:hint="eastAsia" w:ascii="仿宋_GB2312" w:hAnsi="华文仿宋" w:eastAsia="仿宋_GB2312"/>
          <w:sz w:val="32"/>
          <w:szCs w:val="32"/>
        </w:rPr>
        <w:t>%。</w:t>
      </w:r>
    </w:p>
    <w:p>
      <w:pPr>
        <w:adjustRightInd w:val="0"/>
        <w:snapToGrid w:val="0"/>
        <w:spacing w:line="560" w:lineRule="exact"/>
        <w:ind w:right="-218" w:rightChars="-104" w:firstLine="640" w:firstLineChars="200"/>
        <w:rPr>
          <w:rFonts w:hint="eastAsia" w:ascii="仿宋_GB2312" w:hAnsi="华文仿宋" w:eastAsia="仿宋_GB2312"/>
          <w:sz w:val="32"/>
          <w:szCs w:val="32"/>
        </w:rPr>
      </w:pPr>
      <w:r>
        <w:rPr>
          <w:rFonts w:hint="eastAsia" w:ascii="仿宋_GB2312" w:hAnsi="华文仿宋" w:eastAsia="仿宋_GB2312"/>
          <w:sz w:val="32"/>
          <w:szCs w:val="32"/>
        </w:rPr>
        <w:t>2021年收入预算总体增加的主要原因：</w:t>
      </w:r>
      <w:r>
        <w:rPr>
          <w:rFonts w:hint="eastAsia" w:ascii="仿宋_GB2312" w:hAnsi="仿宋_GB2312" w:eastAsia="仿宋_GB2312"/>
          <w:sz w:val="32"/>
          <w:szCs w:val="22"/>
          <w:lang w:eastAsia="zh-CN"/>
        </w:rPr>
        <w:t>我院为广西法院检察院财物统一管理改革试点单位，从</w:t>
      </w:r>
      <w:r>
        <w:rPr>
          <w:rFonts w:hint="eastAsia" w:ascii="仿宋_GB2312" w:hAnsi="仿宋_GB2312" w:eastAsia="仿宋_GB2312"/>
          <w:sz w:val="32"/>
          <w:szCs w:val="22"/>
          <w:lang w:val="en-US" w:eastAsia="zh-CN"/>
        </w:rPr>
        <w:t>2020年起我</w:t>
      </w:r>
      <w:r>
        <w:rPr>
          <w:rFonts w:hint="eastAsia" w:ascii="仿宋_GB2312" w:hAnsi="仿宋_GB2312" w:eastAsia="仿宋_GB2312"/>
          <w:sz w:val="32"/>
          <w:szCs w:val="22"/>
        </w:rPr>
        <w:t>院作为市中级</w:t>
      </w:r>
      <w:r>
        <w:rPr>
          <w:rFonts w:hint="eastAsia" w:ascii="仿宋_GB2312" w:hAnsi="仿宋_GB2312" w:eastAsia="仿宋_GB2312"/>
          <w:sz w:val="32"/>
          <w:szCs w:val="22"/>
          <w:lang w:val="en-US" w:eastAsia="zh-CN"/>
        </w:rPr>
        <w:t>人民</w:t>
      </w:r>
      <w:bookmarkStart w:id="0" w:name="_GoBack"/>
      <w:bookmarkEnd w:id="0"/>
      <w:r>
        <w:rPr>
          <w:rFonts w:hint="eastAsia" w:ascii="仿宋_GB2312" w:hAnsi="仿宋_GB2312" w:eastAsia="仿宋_GB2312"/>
          <w:sz w:val="32"/>
          <w:szCs w:val="22"/>
        </w:rPr>
        <w:t>法院二级预算单位</w:t>
      </w:r>
      <w:r>
        <w:rPr>
          <w:rFonts w:hint="eastAsia" w:ascii="仿宋_GB2312" w:hAnsi="仿宋_GB2312" w:eastAsia="仿宋_GB2312"/>
          <w:sz w:val="32"/>
          <w:szCs w:val="22"/>
          <w:lang w:eastAsia="zh-CN"/>
        </w:rPr>
        <w:t>进行管理，因是首次纳入市级预算管理，相关工作尚待理顺，</w:t>
      </w:r>
      <w:r>
        <w:rPr>
          <w:rFonts w:hint="eastAsia" w:ascii="仿宋_GB2312" w:hAnsi="仿宋_GB2312" w:eastAsia="仿宋_GB2312"/>
          <w:sz w:val="32"/>
          <w:szCs w:val="22"/>
          <w:lang w:val="en-US" w:eastAsia="zh-CN"/>
        </w:rPr>
        <w:t>2020年</w:t>
      </w:r>
      <w:r>
        <w:rPr>
          <w:rFonts w:hint="eastAsia" w:ascii="仿宋_GB2312" w:hAnsi="仿宋_GB2312" w:eastAsia="仿宋_GB2312"/>
          <w:sz w:val="32"/>
          <w:szCs w:val="22"/>
          <w:lang w:eastAsia="zh-CN"/>
        </w:rPr>
        <w:t>我</w:t>
      </w:r>
      <w:r>
        <w:rPr>
          <w:rFonts w:hint="eastAsia" w:ascii="仿宋_GB2312" w:hAnsi="仿宋_GB2312" w:eastAsia="仿宋_GB2312"/>
          <w:sz w:val="32"/>
          <w:szCs w:val="22"/>
        </w:rPr>
        <w:t>院</w:t>
      </w:r>
      <w:r>
        <w:rPr>
          <w:rFonts w:hint="eastAsia" w:ascii="仿宋_GB2312" w:hAnsi="仿宋_GB2312" w:eastAsia="仿宋_GB2312"/>
          <w:sz w:val="32"/>
          <w:szCs w:val="22"/>
          <w:lang w:eastAsia="zh-CN"/>
        </w:rPr>
        <w:t>相关经费以预留形式编入市本级预算，因而</w:t>
      </w:r>
      <w:r>
        <w:rPr>
          <w:rFonts w:hint="eastAsia" w:ascii="仿宋_GB2312" w:hAnsi="仿宋_GB2312" w:eastAsia="仿宋_GB2312"/>
          <w:sz w:val="32"/>
          <w:szCs w:val="22"/>
          <w:lang w:val="en-US" w:eastAsia="zh-CN"/>
        </w:rPr>
        <w:t>2021年预算数据较上年有大幅度增加（下同）。</w:t>
      </w:r>
    </w:p>
    <w:p>
      <w:pPr>
        <w:spacing w:line="560" w:lineRule="exact"/>
        <w:ind w:firstLine="643" w:firstLineChars="200"/>
        <w:rPr>
          <w:rFonts w:hint="eastAsia" w:ascii="黑体" w:hAnsi="黑体" w:eastAsia="黑体" w:cs="黑体"/>
          <w:b/>
          <w:bCs/>
          <w:color w:val="000000"/>
          <w:kern w:val="0"/>
          <w:sz w:val="32"/>
          <w:szCs w:val="32"/>
        </w:rPr>
      </w:pPr>
      <w:r>
        <w:rPr>
          <w:rFonts w:hint="eastAsia" w:ascii="黑体" w:hAnsi="黑体" w:eastAsia="黑体" w:cs="黑体"/>
          <w:b/>
          <w:bCs/>
          <w:color w:val="000000"/>
          <w:kern w:val="0"/>
          <w:sz w:val="32"/>
          <w:szCs w:val="32"/>
        </w:rPr>
        <w:t>三、单位支出预算情况说明</w:t>
      </w:r>
    </w:p>
    <w:p>
      <w:pPr>
        <w:spacing w:line="560" w:lineRule="exact"/>
        <w:ind w:firstLine="640" w:firstLineChars="200"/>
        <w:rPr>
          <w:rFonts w:hint="eastAsia" w:ascii="仿宋_GB2312" w:hAnsi="华文仿宋" w:eastAsia="仿宋_GB2312" w:cs="宋体"/>
          <w:strike/>
          <w:sz w:val="32"/>
          <w:szCs w:val="32"/>
        </w:rPr>
      </w:pPr>
      <w:r>
        <w:rPr>
          <w:rFonts w:hint="eastAsia" w:ascii="仿宋_GB2312" w:hAnsi="华文仿宋" w:eastAsia="仿宋_GB2312"/>
          <w:color w:val="000000"/>
          <w:sz w:val="32"/>
          <w:szCs w:val="32"/>
        </w:rPr>
        <w:t>2021年单位支出总预算</w:t>
      </w:r>
      <w:r>
        <w:rPr>
          <w:rFonts w:hint="eastAsia" w:ascii="仿宋_GB2312" w:hAnsi="华文仿宋" w:eastAsia="仿宋_GB2312"/>
          <w:color w:val="000000"/>
          <w:sz w:val="32"/>
          <w:szCs w:val="32"/>
          <w:lang w:val="en-US" w:eastAsia="zh-CN"/>
        </w:rPr>
        <w:t>1481.27</w:t>
      </w:r>
      <w:r>
        <w:rPr>
          <w:rFonts w:hint="eastAsia" w:ascii="仿宋_GB2312" w:hAnsi="华文仿宋" w:eastAsia="仿宋_GB2312"/>
          <w:color w:val="000000"/>
          <w:sz w:val="32"/>
          <w:szCs w:val="32"/>
        </w:rPr>
        <w:t>万元，基本支出预算</w:t>
      </w:r>
      <w:r>
        <w:rPr>
          <w:rFonts w:hint="eastAsia" w:ascii="仿宋_GB2312" w:hAnsi="华文仿宋" w:eastAsia="仿宋_GB2312"/>
          <w:color w:val="000000"/>
          <w:sz w:val="32"/>
          <w:szCs w:val="32"/>
          <w:lang w:val="en-US" w:eastAsia="zh-CN"/>
        </w:rPr>
        <w:t>1076.77</w:t>
      </w:r>
      <w:r>
        <w:rPr>
          <w:rFonts w:hint="eastAsia" w:ascii="仿宋_GB2312" w:hAnsi="华文仿宋" w:eastAsia="仿宋_GB2312"/>
          <w:color w:val="000000"/>
          <w:sz w:val="32"/>
          <w:szCs w:val="32"/>
        </w:rPr>
        <w:t>万元，占支出总预算的</w:t>
      </w:r>
      <w:r>
        <w:rPr>
          <w:rFonts w:hint="eastAsia" w:ascii="仿宋_GB2312" w:hAnsi="华文仿宋" w:eastAsia="仿宋_GB2312"/>
          <w:color w:val="000000"/>
          <w:sz w:val="32"/>
          <w:szCs w:val="32"/>
          <w:lang w:val="en-US" w:eastAsia="zh-CN"/>
        </w:rPr>
        <w:t>72.7</w:t>
      </w:r>
      <w:r>
        <w:rPr>
          <w:rFonts w:hint="eastAsia" w:ascii="仿宋_GB2312" w:hAnsi="华文仿宋" w:eastAsia="仿宋_GB2312"/>
          <w:color w:val="000000"/>
          <w:sz w:val="32"/>
          <w:szCs w:val="32"/>
        </w:rPr>
        <w:t>%,</w:t>
      </w:r>
      <w:r>
        <w:rPr>
          <w:rFonts w:hint="eastAsia" w:ascii="仿宋_GB2312" w:hAnsi="华文仿宋" w:eastAsia="仿宋_GB2312"/>
          <w:sz w:val="32"/>
          <w:szCs w:val="32"/>
        </w:rPr>
        <w:t>同比增加</w:t>
      </w:r>
      <w:r>
        <w:rPr>
          <w:rFonts w:hint="eastAsia" w:ascii="仿宋_GB2312" w:hAnsi="华文仿宋" w:eastAsia="仿宋_GB2312"/>
          <w:color w:val="000000"/>
          <w:sz w:val="32"/>
          <w:szCs w:val="32"/>
          <w:lang w:val="en-US" w:eastAsia="zh-CN"/>
        </w:rPr>
        <w:t>1076.77</w:t>
      </w:r>
      <w:r>
        <w:rPr>
          <w:rFonts w:hint="eastAsia" w:ascii="仿宋_GB2312" w:hAnsi="华文仿宋" w:eastAsia="仿宋_GB2312"/>
          <w:sz w:val="32"/>
          <w:szCs w:val="32"/>
        </w:rPr>
        <w:t>万元，同比增长</w:t>
      </w:r>
      <w:r>
        <w:rPr>
          <w:rFonts w:hint="eastAsia" w:ascii="仿宋_GB2312" w:hAnsi="华文仿宋" w:eastAsia="仿宋_GB2312"/>
          <w:sz w:val="32"/>
          <w:szCs w:val="32"/>
          <w:lang w:val="en-US" w:eastAsia="zh-CN"/>
        </w:rPr>
        <w:t>100</w:t>
      </w:r>
      <w:r>
        <w:rPr>
          <w:rFonts w:hint="eastAsia" w:ascii="仿宋_GB2312" w:hAnsi="华文仿宋" w:eastAsia="仿宋_GB2312"/>
          <w:sz w:val="32"/>
          <w:szCs w:val="32"/>
        </w:rPr>
        <w:t>%。项目支出预算</w:t>
      </w:r>
      <w:r>
        <w:rPr>
          <w:rFonts w:hint="eastAsia" w:ascii="仿宋_GB2312" w:hAnsi="华文仿宋" w:eastAsia="仿宋_GB2312"/>
          <w:sz w:val="32"/>
          <w:szCs w:val="32"/>
          <w:lang w:val="en-US" w:eastAsia="zh-CN"/>
        </w:rPr>
        <w:t>404.5</w:t>
      </w:r>
      <w:r>
        <w:rPr>
          <w:rFonts w:hint="eastAsia" w:ascii="仿宋_GB2312" w:hAnsi="华文仿宋" w:eastAsia="仿宋_GB2312"/>
          <w:sz w:val="32"/>
          <w:szCs w:val="32"/>
        </w:rPr>
        <w:t>万元，占支出总预算的</w:t>
      </w:r>
      <w:r>
        <w:rPr>
          <w:rFonts w:hint="eastAsia" w:ascii="仿宋_GB2312" w:hAnsi="华文仿宋" w:eastAsia="仿宋_GB2312"/>
          <w:sz w:val="32"/>
          <w:szCs w:val="32"/>
          <w:lang w:val="en-US" w:eastAsia="zh-CN"/>
        </w:rPr>
        <w:t>27.3</w:t>
      </w:r>
      <w:r>
        <w:rPr>
          <w:rFonts w:hint="eastAsia" w:ascii="仿宋_GB2312" w:hAnsi="华文仿宋" w:eastAsia="仿宋_GB2312"/>
          <w:sz w:val="32"/>
          <w:szCs w:val="32"/>
        </w:rPr>
        <w:t>%,同比增加</w:t>
      </w:r>
      <w:r>
        <w:rPr>
          <w:rFonts w:hint="eastAsia" w:ascii="仿宋_GB2312" w:hAnsi="华文仿宋" w:eastAsia="仿宋_GB2312"/>
          <w:sz w:val="32"/>
          <w:szCs w:val="32"/>
          <w:lang w:val="en-US" w:eastAsia="zh-CN"/>
        </w:rPr>
        <w:t>404.5</w:t>
      </w:r>
      <w:r>
        <w:rPr>
          <w:rFonts w:hint="eastAsia" w:ascii="仿宋_GB2312" w:hAnsi="华文仿宋" w:eastAsia="仿宋_GB2312"/>
          <w:sz w:val="32"/>
          <w:szCs w:val="32"/>
        </w:rPr>
        <w:t>万元，同比增长</w:t>
      </w:r>
      <w:r>
        <w:rPr>
          <w:rFonts w:hint="eastAsia" w:ascii="仿宋_GB2312" w:hAnsi="华文仿宋" w:eastAsia="仿宋_GB2312"/>
          <w:sz w:val="32"/>
          <w:szCs w:val="32"/>
          <w:lang w:val="en-US" w:eastAsia="zh-CN"/>
        </w:rPr>
        <w:t>100</w:t>
      </w:r>
      <w:r>
        <w:rPr>
          <w:rFonts w:hint="eastAsia" w:ascii="仿宋_GB2312" w:hAnsi="华文仿宋" w:eastAsia="仿宋_GB2312"/>
          <w:sz w:val="32"/>
          <w:szCs w:val="32"/>
        </w:rPr>
        <w:t>%。</w:t>
      </w:r>
    </w:p>
    <w:p>
      <w:pPr>
        <w:pStyle w:val="4"/>
        <w:numPr>
          <w:ilvl w:val="0"/>
          <w:numId w:val="1"/>
        </w:numPr>
        <w:spacing w:before="0" w:beforeAutospacing="0" w:after="0" w:afterAutospacing="0" w:line="560" w:lineRule="exact"/>
        <w:ind w:left="-10" w:leftChars="0" w:firstLine="640" w:firstLineChars="0"/>
        <w:jc w:val="both"/>
        <w:rPr>
          <w:rFonts w:hint="eastAsia" w:ascii="仿宋_GB2312" w:hAnsi="华文仿宋" w:eastAsia="仿宋_GB2312" w:cs="Times New Roman"/>
          <w:kern w:val="2"/>
          <w:sz w:val="32"/>
          <w:szCs w:val="32"/>
        </w:rPr>
      </w:pPr>
      <w:r>
        <w:rPr>
          <w:rFonts w:hint="eastAsia" w:ascii="仿宋_GB2312" w:hAnsi="华文仿宋" w:eastAsia="仿宋_GB2312" w:cs="Times New Roman"/>
          <w:kern w:val="2"/>
          <w:sz w:val="32"/>
          <w:szCs w:val="32"/>
        </w:rPr>
        <w:t>按支出功能分类科目划分，共分为</w:t>
      </w:r>
      <w:r>
        <w:rPr>
          <w:rFonts w:hint="eastAsia" w:ascii="仿宋_GB2312" w:hAnsi="华文仿宋" w:eastAsia="仿宋_GB2312" w:cs="Times New Roman"/>
          <w:kern w:val="2"/>
          <w:sz w:val="32"/>
          <w:szCs w:val="32"/>
          <w:lang w:val="en-US" w:eastAsia="zh-CN"/>
        </w:rPr>
        <w:t>4</w:t>
      </w:r>
      <w:r>
        <w:rPr>
          <w:rFonts w:hint="eastAsia" w:ascii="仿宋_GB2312" w:hAnsi="华文仿宋" w:eastAsia="仿宋_GB2312" w:cs="Times New Roman"/>
          <w:kern w:val="2"/>
          <w:sz w:val="32"/>
          <w:szCs w:val="32"/>
        </w:rPr>
        <w:t>类，其中：</w:t>
      </w:r>
    </w:p>
    <w:p>
      <w:pPr>
        <w:pStyle w:val="4"/>
        <w:spacing w:before="0" w:beforeAutospacing="0" w:after="0" w:afterAutospacing="0" w:line="560" w:lineRule="exact"/>
        <w:ind w:firstLine="640" w:firstLineChars="200"/>
        <w:jc w:val="both"/>
        <w:rPr>
          <w:rFonts w:hint="eastAsia" w:ascii="仿宋_GB2312" w:hAnsi="华文仿宋" w:eastAsia="仿宋_GB2312" w:cs="Times New Roman"/>
          <w:kern w:val="2"/>
          <w:sz w:val="32"/>
          <w:szCs w:val="32"/>
        </w:rPr>
      </w:pPr>
      <w:r>
        <w:rPr>
          <w:rFonts w:hint="eastAsia" w:ascii="仿宋_GB2312" w:hAnsi="华文仿宋" w:eastAsia="仿宋_GB2312" w:cs="Times New Roman"/>
          <w:kern w:val="2"/>
          <w:sz w:val="32"/>
          <w:szCs w:val="32"/>
        </w:rPr>
        <w:t>1.</w:t>
      </w:r>
      <w:r>
        <w:rPr>
          <w:rFonts w:hint="eastAsia" w:ascii="仿宋_GB2312" w:hAnsi="华文仿宋" w:eastAsia="仿宋_GB2312" w:cs="Times New Roman"/>
          <w:kern w:val="2"/>
          <w:sz w:val="32"/>
          <w:szCs w:val="32"/>
          <w:lang w:val="en-US" w:eastAsia="zh-CN"/>
        </w:rPr>
        <w:t>204类</w:t>
      </w:r>
      <w:r>
        <w:rPr>
          <w:rFonts w:hint="eastAsia" w:ascii="仿宋_GB2312" w:hAnsi="华文仿宋" w:eastAsia="仿宋_GB2312" w:cs="Times New Roman"/>
          <w:kern w:val="2"/>
          <w:sz w:val="32"/>
          <w:szCs w:val="32"/>
          <w:lang w:eastAsia="zh-CN"/>
        </w:rPr>
        <w:t>公共安全支出</w:t>
      </w:r>
      <w:r>
        <w:rPr>
          <w:rFonts w:hint="eastAsia" w:ascii="仿宋_GB2312" w:hAnsi="华文仿宋" w:eastAsia="仿宋_GB2312" w:cs="Times New Roman"/>
          <w:kern w:val="2"/>
          <w:sz w:val="32"/>
          <w:szCs w:val="32"/>
          <w:lang w:val="en-US" w:eastAsia="zh-CN"/>
        </w:rPr>
        <w:t>1187.85</w:t>
      </w:r>
      <w:r>
        <w:rPr>
          <w:rFonts w:hint="eastAsia" w:ascii="仿宋_GB2312" w:hAnsi="华文仿宋" w:eastAsia="仿宋_GB2312" w:cs="Times New Roman"/>
          <w:kern w:val="2"/>
          <w:sz w:val="32"/>
          <w:szCs w:val="32"/>
        </w:rPr>
        <w:t>万元；占支出总预算</w:t>
      </w:r>
      <w:r>
        <w:rPr>
          <w:rFonts w:hint="eastAsia" w:ascii="仿宋_GB2312" w:hAnsi="华文仿宋" w:eastAsia="仿宋_GB2312" w:cs="Times New Roman"/>
          <w:kern w:val="2"/>
          <w:sz w:val="32"/>
          <w:szCs w:val="32"/>
          <w:lang w:val="en-US" w:eastAsia="zh-CN"/>
        </w:rPr>
        <w:t>80.2</w:t>
      </w:r>
      <w:r>
        <w:rPr>
          <w:rFonts w:hint="eastAsia" w:ascii="仿宋_GB2312" w:hAnsi="华文仿宋" w:eastAsia="仿宋_GB2312" w:cs="Times New Roman"/>
          <w:kern w:val="2"/>
          <w:sz w:val="32"/>
          <w:szCs w:val="32"/>
        </w:rPr>
        <w:t>%，同比增加</w:t>
      </w:r>
      <w:r>
        <w:rPr>
          <w:rFonts w:hint="eastAsia" w:ascii="仿宋_GB2312" w:hAnsi="华文仿宋" w:eastAsia="仿宋_GB2312" w:cs="Times New Roman"/>
          <w:kern w:val="2"/>
          <w:sz w:val="32"/>
          <w:szCs w:val="32"/>
          <w:lang w:val="en-US" w:eastAsia="zh-CN"/>
        </w:rPr>
        <w:t>1187.85</w:t>
      </w:r>
      <w:r>
        <w:rPr>
          <w:rFonts w:hint="eastAsia" w:ascii="仿宋_GB2312" w:hAnsi="华文仿宋" w:eastAsia="仿宋_GB2312" w:cs="Times New Roman"/>
          <w:kern w:val="2"/>
          <w:sz w:val="32"/>
          <w:szCs w:val="32"/>
        </w:rPr>
        <w:t>万元，同比增长</w:t>
      </w:r>
      <w:r>
        <w:rPr>
          <w:rFonts w:hint="eastAsia" w:ascii="仿宋_GB2312" w:hAnsi="华文仿宋" w:eastAsia="仿宋_GB2312" w:cs="Times New Roman"/>
          <w:kern w:val="2"/>
          <w:sz w:val="32"/>
          <w:szCs w:val="32"/>
          <w:lang w:val="en-US" w:eastAsia="zh-CN"/>
        </w:rPr>
        <w:t>100</w:t>
      </w:r>
      <w:r>
        <w:rPr>
          <w:rFonts w:hint="eastAsia" w:ascii="仿宋_GB2312" w:hAnsi="华文仿宋" w:eastAsia="仿宋_GB2312" w:cs="Times New Roman"/>
          <w:kern w:val="2"/>
          <w:sz w:val="32"/>
          <w:szCs w:val="32"/>
        </w:rPr>
        <w:t>%。</w:t>
      </w:r>
    </w:p>
    <w:p>
      <w:pPr>
        <w:pStyle w:val="4"/>
        <w:spacing w:before="0" w:beforeAutospacing="0" w:after="0" w:afterAutospacing="0" w:line="560" w:lineRule="exact"/>
        <w:ind w:firstLine="640" w:firstLineChars="200"/>
        <w:jc w:val="both"/>
        <w:rPr>
          <w:rFonts w:hint="eastAsia" w:ascii="仿宋_GB2312" w:hAnsi="华文仿宋" w:eastAsia="仿宋_GB2312" w:cs="Times New Roman"/>
          <w:kern w:val="2"/>
          <w:sz w:val="32"/>
          <w:szCs w:val="32"/>
        </w:rPr>
      </w:pPr>
      <w:r>
        <w:rPr>
          <w:rFonts w:hint="eastAsia" w:ascii="仿宋_GB2312" w:hAnsi="华文仿宋" w:eastAsia="仿宋_GB2312" w:cs="Times New Roman"/>
          <w:kern w:val="2"/>
          <w:sz w:val="32"/>
          <w:szCs w:val="32"/>
        </w:rPr>
        <w:t>2.</w:t>
      </w:r>
      <w:r>
        <w:rPr>
          <w:rFonts w:hint="eastAsia" w:ascii="仿宋_GB2312" w:hAnsi="华文仿宋" w:eastAsia="仿宋_GB2312" w:cs="Times New Roman"/>
          <w:kern w:val="2"/>
          <w:sz w:val="32"/>
          <w:szCs w:val="32"/>
          <w:lang w:val="en-US" w:eastAsia="zh-CN"/>
        </w:rPr>
        <w:t>208类</w:t>
      </w:r>
      <w:r>
        <w:rPr>
          <w:rFonts w:hint="eastAsia" w:ascii="仿宋_GB2312" w:hAnsi="华文仿宋" w:eastAsia="仿宋_GB2312" w:cs="Times New Roman"/>
          <w:kern w:val="2"/>
          <w:sz w:val="32"/>
          <w:szCs w:val="32"/>
          <w:lang w:eastAsia="zh-CN"/>
        </w:rPr>
        <w:t>社会保障和就业支出</w:t>
      </w:r>
      <w:r>
        <w:rPr>
          <w:rFonts w:hint="eastAsia" w:ascii="仿宋_GB2312" w:hAnsi="华文仿宋" w:eastAsia="仿宋_GB2312" w:cs="Times New Roman"/>
          <w:kern w:val="2"/>
          <w:sz w:val="32"/>
          <w:szCs w:val="32"/>
          <w:lang w:val="en-US" w:eastAsia="zh-CN"/>
        </w:rPr>
        <w:t>153</w:t>
      </w:r>
      <w:r>
        <w:rPr>
          <w:rFonts w:hint="eastAsia" w:ascii="仿宋_GB2312" w:hAnsi="华文仿宋" w:eastAsia="仿宋_GB2312" w:cs="Times New Roman"/>
          <w:kern w:val="2"/>
          <w:sz w:val="32"/>
          <w:szCs w:val="32"/>
        </w:rPr>
        <w:t>万元，占支出总预算</w:t>
      </w:r>
      <w:r>
        <w:rPr>
          <w:rFonts w:hint="eastAsia" w:ascii="仿宋_GB2312" w:hAnsi="华文仿宋" w:eastAsia="仿宋_GB2312" w:cs="Times New Roman"/>
          <w:kern w:val="2"/>
          <w:sz w:val="32"/>
          <w:szCs w:val="32"/>
          <w:lang w:val="en-US" w:eastAsia="zh-CN"/>
        </w:rPr>
        <w:t>10.3</w:t>
      </w:r>
      <w:r>
        <w:rPr>
          <w:rFonts w:hint="eastAsia" w:ascii="仿宋_GB2312" w:hAnsi="华文仿宋" w:eastAsia="仿宋_GB2312" w:cs="Times New Roman"/>
          <w:kern w:val="2"/>
          <w:sz w:val="32"/>
          <w:szCs w:val="32"/>
        </w:rPr>
        <w:t>%，同比增加</w:t>
      </w:r>
      <w:r>
        <w:rPr>
          <w:rFonts w:hint="eastAsia" w:ascii="仿宋_GB2312" w:hAnsi="华文仿宋" w:eastAsia="仿宋_GB2312" w:cs="Times New Roman"/>
          <w:kern w:val="2"/>
          <w:sz w:val="32"/>
          <w:szCs w:val="32"/>
          <w:lang w:val="en-US" w:eastAsia="zh-CN"/>
        </w:rPr>
        <w:t>153</w:t>
      </w:r>
      <w:r>
        <w:rPr>
          <w:rFonts w:hint="eastAsia" w:ascii="仿宋_GB2312" w:hAnsi="华文仿宋" w:eastAsia="仿宋_GB2312" w:cs="Times New Roman"/>
          <w:kern w:val="2"/>
          <w:sz w:val="32"/>
          <w:szCs w:val="32"/>
        </w:rPr>
        <w:t>万元，同比增长</w:t>
      </w:r>
      <w:r>
        <w:rPr>
          <w:rFonts w:hint="eastAsia" w:ascii="仿宋_GB2312" w:hAnsi="华文仿宋" w:eastAsia="仿宋_GB2312" w:cs="Times New Roman"/>
          <w:kern w:val="2"/>
          <w:sz w:val="32"/>
          <w:szCs w:val="32"/>
          <w:lang w:val="en-US" w:eastAsia="zh-CN"/>
        </w:rPr>
        <w:t>100</w:t>
      </w:r>
      <w:r>
        <w:rPr>
          <w:rFonts w:hint="eastAsia" w:ascii="仿宋_GB2312" w:hAnsi="华文仿宋" w:eastAsia="仿宋_GB2312" w:cs="Times New Roman"/>
          <w:kern w:val="2"/>
          <w:sz w:val="32"/>
          <w:szCs w:val="32"/>
        </w:rPr>
        <w:t>%。</w:t>
      </w:r>
    </w:p>
    <w:p>
      <w:pPr>
        <w:pStyle w:val="4"/>
        <w:spacing w:before="0" w:beforeAutospacing="0" w:after="0" w:afterAutospacing="0" w:line="560" w:lineRule="exact"/>
        <w:ind w:firstLine="640" w:firstLineChars="200"/>
        <w:jc w:val="both"/>
        <w:rPr>
          <w:rFonts w:hint="eastAsia" w:ascii="仿宋_GB2312" w:hAnsi="华文仿宋" w:eastAsia="仿宋_GB2312" w:cs="Times New Roman"/>
          <w:kern w:val="2"/>
          <w:sz w:val="32"/>
          <w:szCs w:val="32"/>
        </w:rPr>
      </w:pPr>
      <w:r>
        <w:rPr>
          <w:rFonts w:hint="eastAsia" w:ascii="仿宋_GB2312" w:hAnsi="华文仿宋" w:eastAsia="仿宋_GB2312" w:cs="Times New Roman"/>
          <w:kern w:val="2"/>
          <w:sz w:val="32"/>
          <w:szCs w:val="32"/>
        </w:rPr>
        <w:t>3.</w:t>
      </w:r>
      <w:r>
        <w:rPr>
          <w:rFonts w:hint="eastAsia" w:ascii="仿宋_GB2312" w:hAnsi="华文仿宋" w:eastAsia="仿宋_GB2312" w:cs="Times New Roman"/>
          <w:kern w:val="2"/>
          <w:sz w:val="32"/>
          <w:szCs w:val="32"/>
          <w:lang w:val="en-US" w:eastAsia="zh-CN"/>
        </w:rPr>
        <w:t>210类</w:t>
      </w:r>
      <w:r>
        <w:rPr>
          <w:rFonts w:hint="eastAsia" w:ascii="仿宋_GB2312" w:hAnsi="华文仿宋" w:eastAsia="仿宋_GB2312" w:cs="Times New Roman"/>
          <w:kern w:val="2"/>
          <w:sz w:val="32"/>
          <w:szCs w:val="32"/>
          <w:lang w:eastAsia="zh-CN"/>
        </w:rPr>
        <w:t>卫生健康支出</w:t>
      </w:r>
      <w:r>
        <w:rPr>
          <w:rFonts w:hint="eastAsia" w:ascii="仿宋_GB2312" w:hAnsi="华文仿宋" w:eastAsia="仿宋_GB2312" w:cs="Times New Roman"/>
          <w:kern w:val="2"/>
          <w:sz w:val="32"/>
          <w:szCs w:val="32"/>
          <w:lang w:val="en-US" w:eastAsia="zh-CN"/>
        </w:rPr>
        <w:t>70.5</w:t>
      </w:r>
      <w:r>
        <w:rPr>
          <w:rFonts w:hint="eastAsia" w:ascii="仿宋_GB2312" w:hAnsi="华文仿宋" w:eastAsia="仿宋_GB2312" w:cs="Times New Roman"/>
          <w:kern w:val="2"/>
          <w:sz w:val="32"/>
          <w:szCs w:val="32"/>
        </w:rPr>
        <w:t>万元，占支出总预算</w:t>
      </w:r>
      <w:r>
        <w:rPr>
          <w:rFonts w:hint="eastAsia" w:ascii="仿宋_GB2312" w:hAnsi="华文仿宋" w:eastAsia="仿宋_GB2312" w:cs="Times New Roman"/>
          <w:kern w:val="2"/>
          <w:sz w:val="32"/>
          <w:szCs w:val="32"/>
          <w:lang w:val="en-US" w:eastAsia="zh-CN"/>
        </w:rPr>
        <w:t>4.8</w:t>
      </w:r>
      <w:r>
        <w:rPr>
          <w:rFonts w:hint="eastAsia" w:ascii="仿宋_GB2312" w:hAnsi="华文仿宋" w:eastAsia="仿宋_GB2312" w:cs="Times New Roman"/>
          <w:kern w:val="2"/>
          <w:sz w:val="32"/>
          <w:szCs w:val="32"/>
        </w:rPr>
        <w:t>%，同比增加</w:t>
      </w:r>
      <w:r>
        <w:rPr>
          <w:rFonts w:hint="eastAsia" w:ascii="仿宋_GB2312" w:hAnsi="华文仿宋" w:eastAsia="仿宋_GB2312" w:cs="Times New Roman"/>
          <w:kern w:val="2"/>
          <w:sz w:val="32"/>
          <w:szCs w:val="32"/>
          <w:lang w:val="en-US" w:eastAsia="zh-CN"/>
        </w:rPr>
        <w:t>70.5</w:t>
      </w:r>
      <w:r>
        <w:rPr>
          <w:rFonts w:hint="eastAsia" w:ascii="仿宋_GB2312" w:hAnsi="华文仿宋" w:eastAsia="仿宋_GB2312" w:cs="Times New Roman"/>
          <w:kern w:val="2"/>
          <w:sz w:val="32"/>
          <w:szCs w:val="32"/>
        </w:rPr>
        <w:t>万元，同比增长</w:t>
      </w:r>
      <w:r>
        <w:rPr>
          <w:rFonts w:hint="eastAsia" w:ascii="仿宋_GB2312" w:hAnsi="华文仿宋" w:eastAsia="仿宋_GB2312" w:cs="Times New Roman"/>
          <w:kern w:val="2"/>
          <w:sz w:val="32"/>
          <w:szCs w:val="32"/>
          <w:lang w:val="en-US" w:eastAsia="zh-CN"/>
        </w:rPr>
        <w:t>100</w:t>
      </w:r>
      <w:r>
        <w:rPr>
          <w:rFonts w:hint="eastAsia" w:ascii="仿宋_GB2312" w:hAnsi="华文仿宋" w:eastAsia="仿宋_GB2312" w:cs="Times New Roman"/>
          <w:kern w:val="2"/>
          <w:sz w:val="32"/>
          <w:szCs w:val="32"/>
        </w:rPr>
        <w:t>%。</w:t>
      </w:r>
    </w:p>
    <w:p>
      <w:pPr>
        <w:pStyle w:val="4"/>
        <w:spacing w:before="0" w:beforeAutospacing="0" w:after="0" w:afterAutospacing="0" w:line="560" w:lineRule="exact"/>
        <w:ind w:firstLine="640" w:firstLineChars="200"/>
        <w:jc w:val="both"/>
        <w:rPr>
          <w:rFonts w:hint="eastAsia" w:ascii="仿宋_GB2312" w:hAnsi="华文仿宋" w:eastAsia="仿宋_GB2312" w:cs="Times New Roman"/>
          <w:kern w:val="2"/>
          <w:sz w:val="32"/>
          <w:szCs w:val="32"/>
        </w:rPr>
      </w:pPr>
      <w:r>
        <w:rPr>
          <w:rFonts w:hint="eastAsia" w:ascii="仿宋_GB2312" w:hAnsi="华文仿宋" w:eastAsia="仿宋_GB2312" w:cs="Times New Roman"/>
          <w:kern w:val="2"/>
          <w:sz w:val="32"/>
          <w:szCs w:val="32"/>
          <w:lang w:val="en-US" w:eastAsia="zh-CN"/>
        </w:rPr>
        <w:t>4</w:t>
      </w:r>
      <w:r>
        <w:rPr>
          <w:rFonts w:hint="eastAsia" w:ascii="仿宋_GB2312" w:hAnsi="华文仿宋" w:eastAsia="仿宋_GB2312" w:cs="Times New Roman"/>
          <w:kern w:val="2"/>
          <w:sz w:val="32"/>
          <w:szCs w:val="32"/>
        </w:rPr>
        <w:t>.</w:t>
      </w:r>
      <w:r>
        <w:rPr>
          <w:rFonts w:hint="eastAsia" w:ascii="仿宋_GB2312" w:hAnsi="华文仿宋" w:eastAsia="仿宋_GB2312" w:cs="Times New Roman"/>
          <w:kern w:val="2"/>
          <w:sz w:val="32"/>
          <w:szCs w:val="32"/>
          <w:lang w:val="en-US" w:eastAsia="zh-CN"/>
        </w:rPr>
        <w:t>221类</w:t>
      </w:r>
      <w:r>
        <w:rPr>
          <w:rFonts w:hint="eastAsia" w:ascii="仿宋_GB2312" w:hAnsi="华文仿宋" w:eastAsia="仿宋_GB2312" w:cs="Times New Roman"/>
          <w:kern w:val="2"/>
          <w:sz w:val="32"/>
          <w:szCs w:val="32"/>
          <w:lang w:eastAsia="zh-CN"/>
        </w:rPr>
        <w:t>住房保障支出</w:t>
      </w:r>
      <w:r>
        <w:rPr>
          <w:rFonts w:hint="eastAsia" w:ascii="仿宋_GB2312" w:hAnsi="华文仿宋" w:eastAsia="仿宋_GB2312" w:cs="Times New Roman"/>
          <w:kern w:val="2"/>
          <w:sz w:val="32"/>
          <w:szCs w:val="32"/>
          <w:lang w:val="en-US" w:eastAsia="zh-CN"/>
        </w:rPr>
        <w:t>69.91</w:t>
      </w:r>
      <w:r>
        <w:rPr>
          <w:rFonts w:hint="eastAsia" w:ascii="仿宋_GB2312" w:hAnsi="华文仿宋" w:eastAsia="仿宋_GB2312" w:cs="Times New Roman"/>
          <w:kern w:val="2"/>
          <w:sz w:val="32"/>
          <w:szCs w:val="32"/>
        </w:rPr>
        <w:t>万元，占支出总预算</w:t>
      </w:r>
      <w:r>
        <w:rPr>
          <w:rFonts w:hint="eastAsia" w:ascii="仿宋_GB2312" w:hAnsi="华文仿宋" w:eastAsia="仿宋_GB2312" w:cs="Times New Roman"/>
          <w:kern w:val="2"/>
          <w:sz w:val="32"/>
          <w:szCs w:val="32"/>
          <w:lang w:val="en-US" w:eastAsia="zh-CN"/>
        </w:rPr>
        <w:t>4.7</w:t>
      </w:r>
      <w:r>
        <w:rPr>
          <w:rFonts w:hint="eastAsia" w:ascii="仿宋_GB2312" w:hAnsi="华文仿宋" w:eastAsia="仿宋_GB2312" w:cs="Times New Roman"/>
          <w:kern w:val="2"/>
          <w:sz w:val="32"/>
          <w:szCs w:val="32"/>
        </w:rPr>
        <w:t>%，同比增加</w:t>
      </w:r>
      <w:r>
        <w:rPr>
          <w:rFonts w:hint="eastAsia" w:ascii="仿宋_GB2312" w:hAnsi="华文仿宋" w:eastAsia="仿宋_GB2312" w:cs="Times New Roman"/>
          <w:kern w:val="2"/>
          <w:sz w:val="32"/>
          <w:szCs w:val="32"/>
          <w:lang w:val="en-US" w:eastAsia="zh-CN"/>
        </w:rPr>
        <w:t>69.91</w:t>
      </w:r>
      <w:r>
        <w:rPr>
          <w:rFonts w:hint="eastAsia" w:ascii="仿宋_GB2312" w:hAnsi="华文仿宋" w:eastAsia="仿宋_GB2312" w:cs="Times New Roman"/>
          <w:kern w:val="2"/>
          <w:sz w:val="32"/>
          <w:szCs w:val="32"/>
        </w:rPr>
        <w:t>万元，同比增长</w:t>
      </w:r>
      <w:r>
        <w:rPr>
          <w:rFonts w:hint="eastAsia" w:ascii="仿宋_GB2312" w:hAnsi="华文仿宋" w:eastAsia="仿宋_GB2312" w:cs="Times New Roman"/>
          <w:kern w:val="2"/>
          <w:sz w:val="32"/>
          <w:szCs w:val="32"/>
          <w:lang w:val="en-US" w:eastAsia="zh-CN"/>
        </w:rPr>
        <w:t>100</w:t>
      </w:r>
      <w:r>
        <w:rPr>
          <w:rFonts w:hint="eastAsia" w:ascii="仿宋_GB2312" w:hAnsi="华文仿宋" w:eastAsia="仿宋_GB2312" w:cs="Times New Roman"/>
          <w:kern w:val="2"/>
          <w:sz w:val="32"/>
          <w:szCs w:val="32"/>
        </w:rPr>
        <w:t>%。</w:t>
      </w:r>
    </w:p>
    <w:p>
      <w:pPr>
        <w:pStyle w:val="4"/>
        <w:numPr>
          <w:ilvl w:val="0"/>
          <w:numId w:val="1"/>
        </w:numPr>
        <w:spacing w:before="0" w:beforeAutospacing="0" w:after="0" w:afterAutospacing="0" w:line="560" w:lineRule="exact"/>
        <w:ind w:left="-10" w:leftChars="0" w:firstLine="640" w:firstLineChars="0"/>
        <w:jc w:val="both"/>
        <w:rPr>
          <w:rFonts w:hint="eastAsia" w:ascii="仿宋_GB2312" w:hAnsi="华文仿宋" w:eastAsia="仿宋_GB2312" w:cs="Times New Roman"/>
          <w:kern w:val="2"/>
          <w:sz w:val="32"/>
          <w:szCs w:val="32"/>
        </w:rPr>
      </w:pPr>
      <w:r>
        <w:rPr>
          <w:rFonts w:hint="eastAsia" w:ascii="仿宋_GB2312" w:hAnsi="华文仿宋" w:eastAsia="仿宋_GB2312" w:cs="Times New Roman"/>
          <w:kern w:val="2"/>
          <w:sz w:val="32"/>
          <w:szCs w:val="32"/>
        </w:rPr>
        <w:t>按支出结构分类划分，分为基本支出预算和项目支出预算。</w:t>
      </w:r>
    </w:p>
    <w:p>
      <w:pPr>
        <w:pStyle w:val="4"/>
        <w:spacing w:before="0" w:beforeAutospacing="0" w:after="0" w:afterAutospacing="0" w:line="560" w:lineRule="exact"/>
        <w:ind w:firstLine="640" w:firstLineChars="200"/>
        <w:jc w:val="both"/>
        <w:rPr>
          <w:rFonts w:ascii="仿宋_GB2312" w:hAnsi="华文仿宋" w:eastAsia="仿宋_GB2312" w:cs="Times New Roman"/>
          <w:kern w:val="2"/>
          <w:sz w:val="32"/>
          <w:szCs w:val="32"/>
        </w:rPr>
      </w:pPr>
      <w:r>
        <w:rPr>
          <w:rFonts w:hint="eastAsia" w:ascii="仿宋_GB2312" w:hAnsi="华文仿宋" w:eastAsia="仿宋_GB2312" w:cs="Times New Roman"/>
          <w:kern w:val="2"/>
          <w:sz w:val="32"/>
          <w:szCs w:val="32"/>
        </w:rPr>
        <w:t>1.基本支出预算</w:t>
      </w:r>
      <w:r>
        <w:rPr>
          <w:rFonts w:hint="eastAsia" w:ascii="仿宋_GB2312" w:hAnsi="华文仿宋" w:eastAsia="仿宋_GB2312" w:cs="Times New Roman"/>
          <w:kern w:val="2"/>
          <w:sz w:val="32"/>
          <w:szCs w:val="32"/>
          <w:lang w:val="en-US" w:eastAsia="zh-CN"/>
        </w:rPr>
        <w:t>1076.77</w:t>
      </w:r>
      <w:r>
        <w:rPr>
          <w:rFonts w:hint="eastAsia" w:ascii="仿宋_GB2312" w:hAnsi="华文仿宋" w:eastAsia="仿宋_GB2312" w:cs="Times New Roman"/>
          <w:kern w:val="2"/>
          <w:sz w:val="32"/>
          <w:szCs w:val="32"/>
        </w:rPr>
        <w:t>万元，</w:t>
      </w:r>
      <w:r>
        <w:rPr>
          <w:rFonts w:hint="eastAsia" w:ascii="仿宋_GB2312" w:hAnsi="华文仿宋" w:eastAsia="仿宋_GB2312"/>
          <w:color w:val="000000"/>
          <w:sz w:val="32"/>
          <w:szCs w:val="32"/>
        </w:rPr>
        <w:t>占支出总预算的</w:t>
      </w:r>
      <w:r>
        <w:rPr>
          <w:rFonts w:hint="eastAsia" w:ascii="仿宋_GB2312" w:hAnsi="华文仿宋" w:eastAsia="仿宋_GB2312"/>
          <w:color w:val="000000"/>
          <w:sz w:val="32"/>
          <w:szCs w:val="32"/>
          <w:lang w:val="en-US" w:eastAsia="zh-CN"/>
        </w:rPr>
        <w:t>72.7</w:t>
      </w:r>
      <w:r>
        <w:rPr>
          <w:rFonts w:hint="eastAsia" w:ascii="仿宋_GB2312" w:hAnsi="华文仿宋" w:eastAsia="仿宋_GB2312"/>
          <w:color w:val="000000"/>
          <w:sz w:val="32"/>
          <w:szCs w:val="32"/>
        </w:rPr>
        <w:t>%,</w:t>
      </w:r>
      <w:r>
        <w:rPr>
          <w:rFonts w:hint="eastAsia" w:ascii="仿宋_GB2312" w:hAnsi="华文仿宋" w:eastAsia="仿宋_GB2312"/>
          <w:sz w:val="32"/>
          <w:szCs w:val="32"/>
        </w:rPr>
        <w:t>同比增加</w:t>
      </w:r>
      <w:r>
        <w:rPr>
          <w:rFonts w:hint="eastAsia" w:ascii="仿宋_GB2312" w:hAnsi="华文仿宋" w:eastAsia="仿宋_GB2312"/>
          <w:color w:val="000000"/>
          <w:sz w:val="32"/>
          <w:szCs w:val="32"/>
          <w:lang w:val="en-US" w:eastAsia="zh-CN"/>
        </w:rPr>
        <w:t>1076.77</w:t>
      </w:r>
      <w:r>
        <w:rPr>
          <w:rFonts w:hint="eastAsia" w:ascii="仿宋_GB2312" w:hAnsi="华文仿宋" w:eastAsia="仿宋_GB2312"/>
          <w:sz w:val="32"/>
          <w:szCs w:val="32"/>
        </w:rPr>
        <w:t>万元，同比增长</w:t>
      </w:r>
      <w:r>
        <w:rPr>
          <w:rFonts w:hint="eastAsia" w:ascii="仿宋_GB2312" w:hAnsi="华文仿宋" w:eastAsia="仿宋_GB2312"/>
          <w:sz w:val="32"/>
          <w:szCs w:val="32"/>
          <w:lang w:val="en-US" w:eastAsia="zh-CN"/>
        </w:rPr>
        <w:t>100</w:t>
      </w:r>
      <w:r>
        <w:rPr>
          <w:rFonts w:hint="eastAsia" w:ascii="仿宋_GB2312" w:hAnsi="华文仿宋" w:eastAsia="仿宋_GB2312"/>
          <w:sz w:val="32"/>
          <w:szCs w:val="32"/>
        </w:rPr>
        <w:t>%。</w:t>
      </w:r>
    </w:p>
    <w:p>
      <w:pPr>
        <w:pStyle w:val="4"/>
        <w:tabs>
          <w:tab w:val="center" w:pos="4475"/>
        </w:tabs>
        <w:spacing w:before="0" w:beforeAutospacing="0" w:after="0" w:afterAutospacing="0"/>
        <w:ind w:firstLine="640" w:firstLineChars="200"/>
        <w:rPr>
          <w:rFonts w:hint="eastAsia" w:ascii="仿宋_GB2312" w:hAnsi="华文仿宋" w:eastAsia="仿宋_GB2312" w:cs="Times New Roman"/>
          <w:kern w:val="2"/>
          <w:sz w:val="32"/>
          <w:szCs w:val="32"/>
        </w:rPr>
      </w:pPr>
      <w:r>
        <w:rPr>
          <w:rFonts w:hint="eastAsia" w:ascii="仿宋_GB2312" w:hAnsi="华文仿宋" w:eastAsia="仿宋_GB2312" w:cs="Times New Roman"/>
          <w:kern w:val="2"/>
          <w:sz w:val="32"/>
          <w:szCs w:val="32"/>
        </w:rPr>
        <w:t>2.</w:t>
      </w:r>
      <w:r>
        <w:rPr>
          <w:rFonts w:hint="eastAsia" w:ascii="仿宋_GB2312" w:hAnsi="华文仿宋" w:eastAsia="仿宋_GB2312"/>
          <w:sz w:val="32"/>
          <w:szCs w:val="32"/>
        </w:rPr>
        <w:t>项目支出预算</w:t>
      </w:r>
      <w:r>
        <w:rPr>
          <w:rFonts w:hint="eastAsia" w:ascii="仿宋_GB2312" w:hAnsi="华文仿宋" w:eastAsia="仿宋_GB2312"/>
          <w:sz w:val="32"/>
          <w:szCs w:val="32"/>
          <w:lang w:val="en-US" w:eastAsia="zh-CN"/>
        </w:rPr>
        <w:t>404.5</w:t>
      </w:r>
      <w:r>
        <w:rPr>
          <w:rFonts w:hint="eastAsia" w:ascii="仿宋_GB2312" w:hAnsi="华文仿宋" w:eastAsia="仿宋_GB2312"/>
          <w:sz w:val="32"/>
          <w:szCs w:val="32"/>
        </w:rPr>
        <w:t>万元，占支出总预算的</w:t>
      </w:r>
      <w:r>
        <w:rPr>
          <w:rFonts w:hint="eastAsia" w:ascii="仿宋_GB2312" w:hAnsi="华文仿宋" w:eastAsia="仿宋_GB2312"/>
          <w:sz w:val="32"/>
          <w:szCs w:val="32"/>
          <w:lang w:val="en-US" w:eastAsia="zh-CN"/>
        </w:rPr>
        <w:t>27.3</w:t>
      </w:r>
      <w:r>
        <w:rPr>
          <w:rFonts w:hint="eastAsia" w:ascii="仿宋_GB2312" w:hAnsi="华文仿宋" w:eastAsia="仿宋_GB2312"/>
          <w:sz w:val="32"/>
          <w:szCs w:val="32"/>
        </w:rPr>
        <w:t>%,同比增加</w:t>
      </w:r>
      <w:r>
        <w:rPr>
          <w:rFonts w:hint="eastAsia" w:ascii="仿宋_GB2312" w:hAnsi="华文仿宋" w:eastAsia="仿宋_GB2312"/>
          <w:sz w:val="32"/>
          <w:szCs w:val="32"/>
          <w:lang w:val="en-US" w:eastAsia="zh-CN"/>
        </w:rPr>
        <w:t>404.5</w:t>
      </w:r>
      <w:r>
        <w:rPr>
          <w:rFonts w:hint="eastAsia" w:ascii="仿宋_GB2312" w:hAnsi="华文仿宋" w:eastAsia="仿宋_GB2312"/>
          <w:sz w:val="32"/>
          <w:szCs w:val="32"/>
        </w:rPr>
        <w:t>万元，同比增长</w:t>
      </w:r>
      <w:r>
        <w:rPr>
          <w:rFonts w:hint="eastAsia" w:ascii="仿宋_GB2312" w:hAnsi="华文仿宋" w:eastAsia="仿宋_GB2312"/>
          <w:sz w:val="32"/>
          <w:szCs w:val="32"/>
          <w:lang w:val="en-US" w:eastAsia="zh-CN"/>
        </w:rPr>
        <w:t>100</w:t>
      </w:r>
      <w:r>
        <w:rPr>
          <w:rFonts w:hint="eastAsia" w:ascii="仿宋_GB2312" w:hAnsi="华文仿宋" w:eastAsia="仿宋_GB2312"/>
          <w:sz w:val="32"/>
          <w:szCs w:val="32"/>
        </w:rPr>
        <w:t>%。</w:t>
      </w:r>
    </w:p>
    <w:p>
      <w:pPr>
        <w:tabs>
          <w:tab w:val="center" w:pos="4475"/>
        </w:tabs>
        <w:spacing w:line="560" w:lineRule="exact"/>
        <w:ind w:firstLine="645"/>
        <w:rPr>
          <w:rFonts w:hint="eastAsia" w:ascii="黑体" w:hAnsi="黑体" w:eastAsia="黑体" w:cs="黑体"/>
          <w:b/>
          <w:bCs/>
          <w:color w:val="000000"/>
          <w:kern w:val="0"/>
          <w:sz w:val="32"/>
          <w:szCs w:val="32"/>
        </w:rPr>
      </w:pPr>
      <w:r>
        <w:rPr>
          <w:rFonts w:hint="eastAsia" w:ascii="黑体" w:hAnsi="黑体" w:eastAsia="黑体" w:cs="黑体"/>
          <w:b/>
          <w:bCs/>
          <w:color w:val="000000"/>
          <w:kern w:val="0"/>
          <w:sz w:val="32"/>
          <w:szCs w:val="32"/>
        </w:rPr>
        <w:t>四、财政拨款收支预算情况说明</w:t>
      </w:r>
    </w:p>
    <w:p>
      <w:pPr>
        <w:pStyle w:val="4"/>
        <w:spacing w:before="0" w:beforeAutospacing="0" w:after="0" w:afterAutospacing="0" w:line="560" w:lineRule="exact"/>
        <w:ind w:firstLine="640" w:firstLineChars="200"/>
        <w:jc w:val="both"/>
        <w:rPr>
          <w:rFonts w:hint="eastAsia" w:ascii="仿宋_GB2312" w:hAnsi="华文仿宋" w:eastAsia="仿宋_GB2312" w:cs="Times New Roman"/>
          <w:strike/>
          <w:kern w:val="2"/>
          <w:sz w:val="32"/>
          <w:szCs w:val="32"/>
        </w:rPr>
      </w:pPr>
      <w:r>
        <w:rPr>
          <w:rFonts w:hint="eastAsia" w:ascii="仿宋_GB2312" w:hAnsi="华文仿宋" w:eastAsia="仿宋_GB2312" w:cs="Times New Roman"/>
          <w:kern w:val="2"/>
          <w:sz w:val="32"/>
          <w:szCs w:val="32"/>
        </w:rPr>
        <w:t>2021年单位财政拨款收支总预算</w:t>
      </w:r>
      <w:r>
        <w:rPr>
          <w:rFonts w:hint="eastAsia" w:ascii="仿宋_GB2312" w:hAnsi="华文仿宋" w:eastAsia="仿宋_GB2312" w:cs="Times New Roman"/>
          <w:kern w:val="2"/>
          <w:sz w:val="32"/>
          <w:szCs w:val="32"/>
          <w:lang w:val="en-US" w:eastAsia="zh-CN"/>
        </w:rPr>
        <w:t>1481.27</w:t>
      </w:r>
      <w:r>
        <w:rPr>
          <w:rFonts w:hint="eastAsia" w:ascii="仿宋_GB2312" w:hAnsi="华文仿宋" w:eastAsia="仿宋_GB2312" w:cs="Times New Roman"/>
          <w:kern w:val="2"/>
          <w:sz w:val="32"/>
          <w:szCs w:val="32"/>
        </w:rPr>
        <w:t>万元， 收入包括：</w:t>
      </w:r>
      <w:r>
        <w:rPr>
          <w:rFonts w:hint="eastAsia" w:ascii="仿宋_GB2312" w:hAnsi="华文仿宋" w:eastAsia="仿宋_GB2312" w:cs="Times New Roman"/>
          <w:kern w:val="2"/>
          <w:sz w:val="32"/>
          <w:szCs w:val="32"/>
          <w:lang w:eastAsia="zh-CN"/>
        </w:rPr>
        <w:t>经费拨款</w:t>
      </w:r>
      <w:r>
        <w:rPr>
          <w:rFonts w:hint="eastAsia" w:ascii="仿宋_GB2312" w:hAnsi="华文仿宋" w:eastAsia="仿宋_GB2312" w:cs="Times New Roman"/>
          <w:kern w:val="2"/>
          <w:sz w:val="32"/>
          <w:szCs w:val="32"/>
          <w:lang w:val="en-US" w:eastAsia="zh-CN"/>
        </w:rPr>
        <w:t>1076.77</w:t>
      </w:r>
      <w:r>
        <w:rPr>
          <w:rFonts w:hint="eastAsia" w:ascii="仿宋_GB2312" w:hAnsi="华文仿宋" w:eastAsia="仿宋_GB2312" w:cs="Times New Roman"/>
          <w:kern w:val="2"/>
          <w:sz w:val="32"/>
          <w:szCs w:val="32"/>
        </w:rPr>
        <w:t>万元，</w:t>
      </w:r>
      <w:r>
        <w:rPr>
          <w:rFonts w:hint="eastAsia" w:ascii="仿宋_GB2312" w:hAnsi="华文仿宋" w:eastAsia="仿宋_GB2312" w:cs="Times New Roman"/>
          <w:kern w:val="2"/>
          <w:sz w:val="32"/>
          <w:szCs w:val="32"/>
          <w:lang w:eastAsia="zh-CN"/>
        </w:rPr>
        <w:t>纳入一般公共预算非税收入安排的</w:t>
      </w:r>
      <w:r>
        <w:rPr>
          <w:rFonts w:hint="eastAsia" w:ascii="仿宋_GB2312" w:hAnsi="华文仿宋" w:eastAsia="仿宋_GB2312" w:cs="Times New Roman"/>
          <w:kern w:val="2"/>
          <w:sz w:val="32"/>
          <w:szCs w:val="32"/>
          <w:lang w:val="en-US" w:eastAsia="zh-CN"/>
        </w:rPr>
        <w:t>404.5</w:t>
      </w:r>
      <w:r>
        <w:rPr>
          <w:rFonts w:hint="eastAsia" w:ascii="仿宋_GB2312" w:hAnsi="华文仿宋" w:eastAsia="仿宋_GB2312" w:cs="Times New Roman"/>
          <w:kern w:val="2"/>
          <w:sz w:val="32"/>
          <w:szCs w:val="32"/>
        </w:rPr>
        <w:t>万元;支出包括：</w:t>
      </w:r>
      <w:r>
        <w:rPr>
          <w:rFonts w:hint="eastAsia" w:ascii="仿宋_GB2312" w:hAnsi="华文仿宋" w:eastAsia="仿宋_GB2312" w:cs="Times New Roman"/>
          <w:kern w:val="2"/>
          <w:sz w:val="32"/>
          <w:szCs w:val="32"/>
          <w:lang w:eastAsia="zh-CN"/>
        </w:rPr>
        <w:t>公共安全支出</w:t>
      </w:r>
      <w:r>
        <w:rPr>
          <w:rFonts w:hint="eastAsia" w:ascii="仿宋_GB2312" w:hAnsi="华文仿宋" w:eastAsia="仿宋_GB2312" w:cs="Times New Roman"/>
          <w:kern w:val="2"/>
          <w:sz w:val="32"/>
          <w:szCs w:val="32"/>
          <w:lang w:val="en-US" w:eastAsia="zh-CN"/>
        </w:rPr>
        <w:t>1187.85</w:t>
      </w:r>
      <w:r>
        <w:rPr>
          <w:rFonts w:hint="eastAsia" w:ascii="仿宋_GB2312" w:hAnsi="华文仿宋" w:eastAsia="仿宋_GB2312" w:cs="Times New Roman"/>
          <w:kern w:val="2"/>
          <w:sz w:val="32"/>
          <w:szCs w:val="32"/>
        </w:rPr>
        <w:t>万元，</w:t>
      </w:r>
      <w:r>
        <w:rPr>
          <w:rFonts w:hint="eastAsia" w:ascii="仿宋_GB2312" w:hAnsi="华文仿宋" w:eastAsia="仿宋_GB2312" w:cs="Times New Roman"/>
          <w:kern w:val="2"/>
          <w:sz w:val="32"/>
          <w:szCs w:val="32"/>
          <w:lang w:eastAsia="zh-CN"/>
        </w:rPr>
        <w:t>社会保障和就业支出</w:t>
      </w:r>
      <w:r>
        <w:rPr>
          <w:rFonts w:hint="eastAsia" w:ascii="仿宋_GB2312" w:hAnsi="华文仿宋" w:eastAsia="仿宋_GB2312" w:cs="Times New Roman"/>
          <w:kern w:val="2"/>
          <w:sz w:val="32"/>
          <w:szCs w:val="32"/>
          <w:lang w:val="en-US" w:eastAsia="zh-CN"/>
        </w:rPr>
        <w:t>153</w:t>
      </w:r>
      <w:r>
        <w:rPr>
          <w:rFonts w:hint="eastAsia" w:ascii="仿宋_GB2312" w:hAnsi="华文仿宋" w:eastAsia="仿宋_GB2312" w:cs="Times New Roman"/>
          <w:kern w:val="2"/>
          <w:sz w:val="32"/>
          <w:szCs w:val="32"/>
        </w:rPr>
        <w:t>万元</w:t>
      </w:r>
      <w:r>
        <w:rPr>
          <w:rFonts w:hint="eastAsia" w:ascii="仿宋_GB2312" w:hAnsi="华文仿宋" w:eastAsia="仿宋_GB2312" w:cs="Times New Roman"/>
          <w:kern w:val="2"/>
          <w:sz w:val="32"/>
          <w:szCs w:val="32"/>
          <w:lang w:eastAsia="zh-CN"/>
        </w:rPr>
        <w:t>，卫生健康支出</w:t>
      </w:r>
      <w:r>
        <w:rPr>
          <w:rFonts w:hint="eastAsia" w:ascii="仿宋_GB2312" w:hAnsi="华文仿宋" w:eastAsia="仿宋_GB2312" w:cs="Times New Roman"/>
          <w:kern w:val="2"/>
          <w:sz w:val="32"/>
          <w:szCs w:val="32"/>
          <w:lang w:val="en-US" w:eastAsia="zh-CN"/>
        </w:rPr>
        <w:t>70.5</w:t>
      </w:r>
      <w:r>
        <w:rPr>
          <w:rFonts w:hint="eastAsia" w:ascii="仿宋_GB2312" w:hAnsi="华文仿宋" w:eastAsia="仿宋_GB2312" w:cs="Times New Roman"/>
          <w:kern w:val="2"/>
          <w:sz w:val="32"/>
          <w:szCs w:val="32"/>
        </w:rPr>
        <w:t>万元</w:t>
      </w:r>
      <w:r>
        <w:rPr>
          <w:rFonts w:hint="eastAsia" w:ascii="仿宋_GB2312" w:hAnsi="华文仿宋" w:eastAsia="仿宋_GB2312" w:cs="Times New Roman"/>
          <w:kern w:val="2"/>
          <w:sz w:val="32"/>
          <w:szCs w:val="32"/>
          <w:lang w:eastAsia="zh-CN"/>
        </w:rPr>
        <w:t>，住房保障支出</w:t>
      </w:r>
      <w:r>
        <w:rPr>
          <w:rFonts w:hint="eastAsia" w:ascii="仿宋_GB2312" w:hAnsi="华文仿宋" w:eastAsia="仿宋_GB2312" w:cs="Times New Roman"/>
          <w:kern w:val="2"/>
          <w:sz w:val="32"/>
          <w:szCs w:val="32"/>
          <w:lang w:val="en-US" w:eastAsia="zh-CN"/>
        </w:rPr>
        <w:t>69.91</w:t>
      </w:r>
      <w:r>
        <w:rPr>
          <w:rFonts w:hint="eastAsia" w:ascii="仿宋_GB2312" w:hAnsi="华文仿宋" w:eastAsia="仿宋_GB2312" w:cs="Times New Roman"/>
          <w:kern w:val="2"/>
          <w:sz w:val="32"/>
          <w:szCs w:val="32"/>
        </w:rPr>
        <w:t>万元。</w:t>
      </w:r>
    </w:p>
    <w:p>
      <w:pPr>
        <w:pStyle w:val="4"/>
        <w:spacing w:before="0" w:beforeAutospacing="0" w:after="0" w:afterAutospacing="0" w:line="560" w:lineRule="exact"/>
        <w:ind w:firstLine="643" w:firstLineChars="200"/>
        <w:jc w:val="both"/>
        <w:rPr>
          <w:rFonts w:hint="eastAsia" w:ascii="黑体" w:hAnsi="黑体" w:eastAsia="黑体" w:cs="黑体"/>
          <w:b/>
          <w:bCs/>
          <w:color w:val="000000"/>
          <w:sz w:val="32"/>
          <w:szCs w:val="32"/>
        </w:rPr>
      </w:pPr>
      <w:r>
        <w:rPr>
          <w:rFonts w:hint="eastAsia" w:ascii="黑体" w:hAnsi="黑体" w:eastAsia="黑体" w:cs="黑体"/>
          <w:b/>
          <w:bCs/>
          <w:color w:val="000000"/>
          <w:sz w:val="32"/>
          <w:szCs w:val="32"/>
        </w:rPr>
        <w:t>五、一般公共预算支出情况说明</w:t>
      </w:r>
    </w:p>
    <w:p>
      <w:pPr>
        <w:pStyle w:val="4"/>
        <w:spacing w:before="0" w:beforeAutospacing="0" w:after="0" w:afterAutospacing="0" w:line="560" w:lineRule="exact"/>
        <w:ind w:firstLine="640" w:firstLineChars="200"/>
        <w:jc w:val="both"/>
        <w:rPr>
          <w:rFonts w:hint="eastAsia" w:ascii="仿宋_GB2312" w:hAnsi="华文仿宋" w:eastAsia="仿宋_GB2312" w:cs="Times New Roman"/>
          <w:kern w:val="2"/>
          <w:sz w:val="32"/>
          <w:szCs w:val="32"/>
        </w:rPr>
      </w:pPr>
      <w:r>
        <w:rPr>
          <w:rFonts w:hint="eastAsia" w:ascii="仿宋_GB2312" w:hAnsi="华文仿宋" w:eastAsia="仿宋_GB2312" w:cs="Times New Roman"/>
          <w:kern w:val="2"/>
          <w:sz w:val="32"/>
          <w:szCs w:val="32"/>
        </w:rPr>
        <w:t>2021年单位一般公共预算拨款支出</w:t>
      </w:r>
      <w:r>
        <w:rPr>
          <w:rFonts w:hint="eastAsia" w:ascii="仿宋_GB2312" w:hAnsi="华文仿宋" w:eastAsia="仿宋_GB2312" w:cs="Times New Roman"/>
          <w:kern w:val="2"/>
          <w:sz w:val="32"/>
          <w:szCs w:val="32"/>
          <w:lang w:val="en-US" w:eastAsia="zh-CN"/>
        </w:rPr>
        <w:t>1481.27</w:t>
      </w:r>
      <w:r>
        <w:rPr>
          <w:rFonts w:hint="eastAsia" w:ascii="仿宋_GB2312" w:hAnsi="华文仿宋" w:eastAsia="仿宋_GB2312" w:cs="Times New Roman"/>
          <w:kern w:val="2"/>
          <w:sz w:val="32"/>
          <w:szCs w:val="32"/>
        </w:rPr>
        <w:t>万元，其中：基本支出</w:t>
      </w:r>
      <w:r>
        <w:rPr>
          <w:rFonts w:hint="eastAsia" w:ascii="仿宋_GB2312" w:hAnsi="华文仿宋" w:eastAsia="仿宋_GB2312" w:cs="Times New Roman"/>
          <w:kern w:val="2"/>
          <w:sz w:val="32"/>
          <w:szCs w:val="32"/>
          <w:lang w:val="en-US" w:eastAsia="zh-CN"/>
        </w:rPr>
        <w:t>1076.77</w:t>
      </w:r>
      <w:r>
        <w:rPr>
          <w:rFonts w:hint="eastAsia" w:ascii="仿宋_GB2312" w:hAnsi="华文仿宋" w:eastAsia="仿宋_GB2312" w:cs="Times New Roman"/>
          <w:kern w:val="2"/>
          <w:sz w:val="32"/>
          <w:szCs w:val="32"/>
        </w:rPr>
        <w:t>万元，项目支出</w:t>
      </w:r>
      <w:r>
        <w:rPr>
          <w:rFonts w:hint="eastAsia" w:ascii="仿宋_GB2312" w:hAnsi="华文仿宋" w:eastAsia="仿宋_GB2312" w:cs="Times New Roman"/>
          <w:kern w:val="2"/>
          <w:sz w:val="32"/>
          <w:szCs w:val="32"/>
          <w:lang w:val="en-US" w:eastAsia="zh-CN"/>
        </w:rPr>
        <w:t>404.5</w:t>
      </w:r>
      <w:r>
        <w:rPr>
          <w:rFonts w:hint="eastAsia" w:ascii="仿宋_GB2312" w:hAnsi="华文仿宋" w:eastAsia="仿宋_GB2312" w:cs="Times New Roman"/>
          <w:kern w:val="2"/>
          <w:sz w:val="32"/>
          <w:szCs w:val="32"/>
        </w:rPr>
        <w:t>万元，具体支出预算如下：</w:t>
      </w:r>
    </w:p>
    <w:p>
      <w:pPr>
        <w:pStyle w:val="4"/>
        <w:numPr>
          <w:ilvl w:val="0"/>
          <w:numId w:val="2"/>
        </w:numPr>
        <w:spacing w:before="0" w:beforeAutospacing="0" w:after="0" w:afterAutospacing="0" w:line="560" w:lineRule="exact"/>
        <w:ind w:left="-10" w:leftChars="0" w:firstLine="640" w:firstLineChars="0"/>
        <w:rPr>
          <w:rFonts w:hint="eastAsia" w:ascii="仿宋_GB2312" w:hAnsi="华文仿宋" w:eastAsia="仿宋_GB2312"/>
          <w:sz w:val="32"/>
          <w:szCs w:val="32"/>
          <w:lang w:eastAsia="zh-CN"/>
        </w:rPr>
      </w:pPr>
      <w:r>
        <w:rPr>
          <w:rFonts w:hint="eastAsia" w:ascii="仿宋_GB2312" w:hAnsi="华文仿宋" w:eastAsia="仿宋_GB2312" w:cs="Times New Roman"/>
          <w:kern w:val="2"/>
          <w:sz w:val="32"/>
          <w:szCs w:val="32"/>
          <w:lang w:eastAsia="zh-CN"/>
        </w:rPr>
        <w:t>行政运行（法院）支出</w:t>
      </w:r>
      <w:r>
        <w:rPr>
          <w:rFonts w:hint="eastAsia" w:ascii="仿宋_GB2312" w:hAnsi="华文仿宋" w:eastAsia="仿宋_GB2312" w:cs="Times New Roman"/>
          <w:kern w:val="2"/>
          <w:sz w:val="32"/>
          <w:szCs w:val="32"/>
          <w:lang w:val="en-US" w:eastAsia="zh-CN"/>
        </w:rPr>
        <w:t>783.35万元，全部为基本支出。主要用于</w:t>
      </w:r>
      <w:r>
        <w:rPr>
          <w:rFonts w:hint="eastAsia" w:ascii="仿宋_GB2312" w:hAnsi="华文仿宋" w:eastAsia="仿宋_GB2312" w:cs="Times New Roman"/>
          <w:kern w:val="2"/>
          <w:sz w:val="32"/>
          <w:szCs w:val="32"/>
          <w:lang w:eastAsia="zh-CN"/>
        </w:rPr>
        <w:t>保障</w:t>
      </w:r>
      <w:r>
        <w:rPr>
          <w:rFonts w:hint="eastAsia" w:ascii="仿宋_GB2312" w:hAnsi="华文仿宋" w:eastAsia="仿宋_GB2312"/>
          <w:sz w:val="32"/>
          <w:szCs w:val="32"/>
          <w:lang w:eastAsia="zh-CN"/>
        </w:rPr>
        <w:t>我院日常运转而发生的工资福利和日常公用经费支出。</w:t>
      </w:r>
    </w:p>
    <w:p>
      <w:pPr>
        <w:pStyle w:val="4"/>
        <w:numPr>
          <w:ilvl w:val="0"/>
          <w:numId w:val="2"/>
        </w:numPr>
        <w:spacing w:before="0" w:beforeAutospacing="0" w:after="0" w:afterAutospacing="0" w:line="560" w:lineRule="exact"/>
        <w:ind w:left="-10" w:leftChars="0" w:firstLine="640" w:firstLineChars="0"/>
        <w:rPr>
          <w:rFonts w:hint="eastAsia" w:ascii="仿宋_GB2312" w:hAnsi="华文仿宋" w:eastAsia="仿宋_GB2312" w:cs="Times New Roman"/>
          <w:kern w:val="2"/>
          <w:sz w:val="32"/>
          <w:szCs w:val="32"/>
        </w:rPr>
      </w:pPr>
      <w:r>
        <w:rPr>
          <w:rFonts w:hint="eastAsia" w:ascii="仿宋_GB2312" w:hAnsi="华文仿宋" w:eastAsia="仿宋_GB2312" w:cs="Times New Roman"/>
          <w:kern w:val="2"/>
          <w:sz w:val="32"/>
          <w:szCs w:val="32"/>
          <w:lang w:val="en-US" w:eastAsia="zh-CN"/>
        </w:rPr>
        <w:t>一般行政管理事务（法院）支出14.5万元，全部为项目支出。主要用于我院人员体检和人身意外险支出。</w:t>
      </w:r>
    </w:p>
    <w:p>
      <w:pPr>
        <w:pStyle w:val="4"/>
        <w:numPr>
          <w:ilvl w:val="0"/>
          <w:numId w:val="2"/>
        </w:numPr>
        <w:spacing w:before="0" w:beforeAutospacing="0" w:after="0" w:afterAutospacing="0" w:line="560" w:lineRule="exact"/>
        <w:ind w:left="-10" w:leftChars="0" w:firstLine="640" w:firstLineChars="0"/>
        <w:rPr>
          <w:rFonts w:hint="eastAsia" w:ascii="仿宋_GB2312" w:hAnsi="华文仿宋" w:eastAsia="仿宋_GB2312" w:cs="Times New Roman"/>
          <w:kern w:val="2"/>
          <w:sz w:val="32"/>
          <w:szCs w:val="32"/>
        </w:rPr>
      </w:pPr>
      <w:r>
        <w:rPr>
          <w:rFonts w:hint="eastAsia" w:ascii="仿宋_GB2312" w:hAnsi="华文仿宋" w:eastAsia="仿宋_GB2312" w:cs="Times New Roman"/>
          <w:kern w:val="2"/>
          <w:sz w:val="32"/>
          <w:szCs w:val="32"/>
          <w:lang w:val="en-US" w:eastAsia="zh-CN"/>
        </w:rPr>
        <w:t>案件审判支出28.82万元，全部为项目支出。主要用于</w:t>
      </w:r>
      <w:r>
        <w:rPr>
          <w:rFonts w:hint="eastAsia" w:ascii="仿宋_GB2312" w:hAnsi="华文仿宋" w:eastAsia="仿宋_GB2312"/>
          <w:sz w:val="32"/>
          <w:szCs w:val="32"/>
          <w:lang w:eastAsia="zh-CN"/>
        </w:rPr>
        <w:t>为完成各大项审判发生的办案业务支出。</w:t>
      </w:r>
    </w:p>
    <w:p>
      <w:pPr>
        <w:pStyle w:val="4"/>
        <w:numPr>
          <w:ilvl w:val="0"/>
          <w:numId w:val="2"/>
        </w:numPr>
        <w:spacing w:before="0" w:beforeAutospacing="0" w:after="0" w:afterAutospacing="0" w:line="560" w:lineRule="exact"/>
        <w:ind w:left="-10" w:leftChars="0" w:firstLine="640" w:firstLineChars="0"/>
        <w:rPr>
          <w:rFonts w:hint="eastAsia" w:ascii="仿宋_GB2312" w:hAnsi="华文仿宋" w:eastAsia="仿宋_GB2312" w:cs="Times New Roman"/>
          <w:kern w:val="2"/>
          <w:sz w:val="32"/>
          <w:szCs w:val="32"/>
        </w:rPr>
      </w:pPr>
      <w:r>
        <w:rPr>
          <w:rFonts w:hint="eastAsia" w:ascii="仿宋_GB2312" w:hAnsi="华文仿宋" w:eastAsia="仿宋_GB2312" w:cs="Times New Roman"/>
          <w:kern w:val="2"/>
          <w:sz w:val="32"/>
          <w:szCs w:val="32"/>
          <w:lang w:val="en-US" w:eastAsia="zh-CN"/>
        </w:rPr>
        <w:t>案件执行支出10.46万元，全部为项目支出。</w:t>
      </w:r>
      <w:r>
        <w:rPr>
          <w:rFonts w:hint="eastAsia" w:ascii="仿宋_GB2312" w:hAnsi="华文仿宋" w:eastAsia="仿宋_GB2312" w:cs="Times New Roman"/>
          <w:kern w:val="2"/>
          <w:sz w:val="32"/>
          <w:szCs w:val="32"/>
        </w:rPr>
        <w:t>主要用于</w:t>
      </w:r>
      <w:r>
        <w:rPr>
          <w:rFonts w:hint="eastAsia" w:ascii="仿宋_GB2312" w:hAnsi="华文仿宋" w:eastAsia="仿宋_GB2312"/>
          <w:sz w:val="32"/>
          <w:szCs w:val="32"/>
          <w:lang w:eastAsia="zh-CN"/>
        </w:rPr>
        <w:t>为完成各大项执行发生的办案业务支出等。</w:t>
      </w:r>
    </w:p>
    <w:p>
      <w:pPr>
        <w:pStyle w:val="4"/>
        <w:numPr>
          <w:ilvl w:val="0"/>
          <w:numId w:val="2"/>
        </w:numPr>
        <w:spacing w:before="0" w:beforeAutospacing="0" w:after="0" w:afterAutospacing="0" w:line="560" w:lineRule="exact"/>
        <w:ind w:left="-10" w:leftChars="0" w:firstLine="640" w:firstLineChars="0"/>
        <w:rPr>
          <w:rFonts w:hint="eastAsia" w:ascii="仿宋_GB2312" w:hAnsi="华文仿宋" w:eastAsia="仿宋_GB2312" w:cs="Times New Roman"/>
          <w:kern w:val="2"/>
          <w:sz w:val="32"/>
          <w:szCs w:val="32"/>
        </w:rPr>
      </w:pPr>
      <w:r>
        <w:rPr>
          <w:rFonts w:hint="eastAsia" w:ascii="仿宋_GB2312" w:hAnsi="华文仿宋" w:eastAsia="仿宋_GB2312"/>
          <w:sz w:val="32"/>
          <w:szCs w:val="32"/>
          <w:lang w:eastAsia="zh-CN"/>
        </w:rPr>
        <w:t>其他法院支出</w:t>
      </w:r>
      <w:r>
        <w:rPr>
          <w:rFonts w:hint="eastAsia" w:ascii="仿宋_GB2312" w:hAnsi="华文仿宋" w:eastAsia="仿宋_GB2312"/>
          <w:sz w:val="32"/>
          <w:szCs w:val="32"/>
          <w:lang w:val="en-US" w:eastAsia="zh-CN"/>
        </w:rPr>
        <w:t>358.72万元，全部为项目支出。主要用于聘用人员工资、社保、住房公积金和工会缴费</w:t>
      </w:r>
      <w:r>
        <w:rPr>
          <w:rFonts w:hint="eastAsia" w:ascii="仿宋_GB2312" w:hAnsi="华文仿宋" w:eastAsia="仿宋_GB2312"/>
          <w:sz w:val="32"/>
          <w:szCs w:val="32"/>
          <w:lang w:eastAsia="zh-CN"/>
        </w:rPr>
        <w:t>以及为完成各大项审判、执行发生的办案业务支出等。</w:t>
      </w:r>
    </w:p>
    <w:p>
      <w:pPr>
        <w:pStyle w:val="4"/>
        <w:numPr>
          <w:ilvl w:val="0"/>
          <w:numId w:val="2"/>
        </w:numPr>
        <w:spacing w:before="0" w:beforeAutospacing="0" w:after="0" w:afterAutospacing="0" w:line="560" w:lineRule="exact"/>
        <w:ind w:left="-10" w:leftChars="0" w:firstLine="640" w:firstLineChars="0"/>
        <w:rPr>
          <w:rFonts w:hint="eastAsia" w:ascii="仿宋_GB2312" w:hAnsi="华文仿宋" w:eastAsia="仿宋_GB2312" w:cs="Times New Roman"/>
          <w:kern w:val="2"/>
          <w:sz w:val="32"/>
          <w:szCs w:val="32"/>
        </w:rPr>
      </w:pPr>
      <w:r>
        <w:rPr>
          <w:rFonts w:hint="eastAsia" w:ascii="仿宋_GB2312" w:hAnsi="华文仿宋" w:eastAsia="仿宋_GB2312"/>
          <w:sz w:val="32"/>
          <w:szCs w:val="32"/>
          <w:lang w:eastAsia="zh-CN"/>
        </w:rPr>
        <w:t>行政单位离退休支出</w:t>
      </w:r>
      <w:r>
        <w:rPr>
          <w:rFonts w:hint="eastAsia" w:ascii="仿宋_GB2312" w:hAnsi="华文仿宋" w:eastAsia="仿宋_GB2312"/>
          <w:sz w:val="32"/>
          <w:szCs w:val="32"/>
          <w:lang w:val="en-US" w:eastAsia="zh-CN"/>
        </w:rPr>
        <w:t>10.72万元，全部为基本支出。主要用于退休人员物业补贴、公用经费、领取《独生子女父母光荣证》荣誉称号提高基本退休费计发比例享受的加发退休费等支出。</w:t>
      </w:r>
    </w:p>
    <w:p>
      <w:pPr>
        <w:pStyle w:val="4"/>
        <w:numPr>
          <w:ilvl w:val="0"/>
          <w:numId w:val="2"/>
        </w:numPr>
        <w:spacing w:before="0" w:beforeAutospacing="0" w:after="0" w:afterAutospacing="0" w:line="560" w:lineRule="exact"/>
        <w:ind w:left="-10" w:leftChars="0" w:firstLine="640" w:firstLineChars="0"/>
        <w:rPr>
          <w:rFonts w:hint="eastAsia" w:ascii="仿宋_GB2312" w:hAnsi="华文仿宋" w:eastAsia="仿宋_GB2312" w:cs="Times New Roman"/>
          <w:kern w:val="2"/>
          <w:sz w:val="32"/>
          <w:szCs w:val="32"/>
        </w:rPr>
      </w:pPr>
      <w:r>
        <w:rPr>
          <w:rFonts w:hint="eastAsia" w:ascii="仿宋_GB2312" w:hAnsi="华文仿宋" w:eastAsia="仿宋_GB2312"/>
          <w:sz w:val="32"/>
          <w:szCs w:val="32"/>
          <w:lang w:val="en-US" w:eastAsia="zh-CN"/>
        </w:rPr>
        <w:t>机关事业单位基本养老保险缴费支出93.22万元，全部为基本支出。主要用于在职在编人员基本养老保险缴费支出。</w:t>
      </w:r>
    </w:p>
    <w:p>
      <w:pPr>
        <w:pStyle w:val="4"/>
        <w:numPr>
          <w:ilvl w:val="0"/>
          <w:numId w:val="2"/>
        </w:numPr>
        <w:spacing w:before="0" w:beforeAutospacing="0" w:after="0" w:afterAutospacing="0" w:line="560" w:lineRule="exact"/>
        <w:ind w:left="-10" w:leftChars="0" w:firstLine="640" w:firstLineChars="0"/>
        <w:rPr>
          <w:rFonts w:hint="eastAsia" w:ascii="仿宋_GB2312" w:hAnsi="华文仿宋" w:eastAsia="仿宋_GB2312" w:cs="Times New Roman"/>
          <w:kern w:val="2"/>
          <w:sz w:val="32"/>
          <w:szCs w:val="32"/>
          <w:lang w:eastAsia="zh-CN"/>
        </w:rPr>
      </w:pPr>
      <w:r>
        <w:rPr>
          <w:rFonts w:hint="eastAsia" w:ascii="仿宋_GB2312" w:hAnsi="华文仿宋" w:eastAsia="仿宋_GB2312"/>
          <w:sz w:val="32"/>
          <w:szCs w:val="32"/>
          <w:lang w:val="en-US" w:eastAsia="zh-CN"/>
        </w:rPr>
        <w:t>机关事业单位职业年金缴费支出46.61万元，全部为基本支出。主要用于在职在编人员职业年金缴费支出。</w:t>
      </w:r>
    </w:p>
    <w:p>
      <w:pPr>
        <w:pStyle w:val="4"/>
        <w:numPr>
          <w:ilvl w:val="0"/>
          <w:numId w:val="2"/>
        </w:numPr>
        <w:spacing w:before="0" w:beforeAutospacing="0" w:after="0" w:afterAutospacing="0" w:line="560" w:lineRule="exact"/>
        <w:ind w:left="-10" w:leftChars="0" w:firstLine="640" w:firstLineChars="0"/>
        <w:rPr>
          <w:rFonts w:hint="eastAsia" w:ascii="仿宋_GB2312" w:hAnsi="华文仿宋" w:eastAsia="仿宋_GB2312" w:cs="Times New Roman"/>
          <w:kern w:val="2"/>
          <w:sz w:val="32"/>
          <w:szCs w:val="32"/>
          <w:lang w:eastAsia="zh-CN"/>
        </w:rPr>
      </w:pPr>
      <w:r>
        <w:rPr>
          <w:rFonts w:hint="eastAsia" w:ascii="仿宋_GB2312" w:hAnsi="华文仿宋" w:eastAsia="仿宋_GB2312"/>
          <w:sz w:val="32"/>
          <w:szCs w:val="32"/>
          <w:lang w:val="en-US" w:eastAsia="zh-CN"/>
        </w:rPr>
        <w:t>其他社会保障缴费和就业支出2.45万元，全部为基本支出。主要用于遗属补助支出。</w:t>
      </w:r>
    </w:p>
    <w:p>
      <w:pPr>
        <w:pStyle w:val="4"/>
        <w:numPr>
          <w:ilvl w:val="0"/>
          <w:numId w:val="2"/>
        </w:numPr>
        <w:spacing w:before="0" w:beforeAutospacing="0" w:after="0" w:afterAutospacing="0" w:line="560" w:lineRule="exact"/>
        <w:ind w:left="-10" w:leftChars="0" w:firstLine="640" w:firstLineChars="0"/>
        <w:rPr>
          <w:rFonts w:hint="eastAsia" w:ascii="仿宋_GB2312" w:hAnsi="华文仿宋" w:eastAsia="仿宋_GB2312" w:cs="Times New Roman"/>
          <w:kern w:val="2"/>
          <w:sz w:val="32"/>
          <w:szCs w:val="32"/>
          <w:lang w:eastAsia="zh-CN"/>
        </w:rPr>
      </w:pPr>
      <w:r>
        <w:rPr>
          <w:rFonts w:hint="eastAsia" w:ascii="仿宋_GB2312" w:hAnsi="华文仿宋" w:eastAsia="仿宋_GB2312"/>
          <w:sz w:val="32"/>
          <w:szCs w:val="32"/>
          <w:lang w:val="en-US" w:eastAsia="zh-CN"/>
        </w:rPr>
        <w:t>行政单位医疗支出45.44万元，全部为基本支出。主要用于在职在编人员基本医疗保险缴费支出。</w:t>
      </w:r>
    </w:p>
    <w:p>
      <w:pPr>
        <w:pStyle w:val="4"/>
        <w:numPr>
          <w:ilvl w:val="0"/>
          <w:numId w:val="2"/>
        </w:numPr>
        <w:spacing w:before="0" w:beforeAutospacing="0" w:after="0" w:afterAutospacing="0" w:line="560" w:lineRule="exact"/>
        <w:ind w:left="-10" w:leftChars="0" w:firstLine="640" w:firstLineChars="0"/>
        <w:rPr>
          <w:rFonts w:hint="eastAsia" w:ascii="仿宋_GB2312" w:hAnsi="华文仿宋" w:eastAsia="仿宋_GB2312" w:cs="Times New Roman"/>
          <w:kern w:val="2"/>
          <w:sz w:val="32"/>
          <w:szCs w:val="32"/>
          <w:lang w:eastAsia="zh-CN"/>
        </w:rPr>
      </w:pPr>
      <w:r>
        <w:rPr>
          <w:rFonts w:hint="eastAsia" w:ascii="仿宋_GB2312" w:hAnsi="华文仿宋" w:eastAsia="仿宋_GB2312"/>
          <w:sz w:val="32"/>
          <w:szCs w:val="32"/>
          <w:lang w:val="en-US" w:eastAsia="zh-CN"/>
        </w:rPr>
        <w:t>公务员医疗补助支出25.06万元，全部为基本支出。主要用于单位公务人员公务医疗补助缴支出。</w:t>
      </w:r>
    </w:p>
    <w:p>
      <w:pPr>
        <w:pStyle w:val="4"/>
        <w:numPr>
          <w:ilvl w:val="0"/>
          <w:numId w:val="2"/>
        </w:numPr>
        <w:spacing w:before="0" w:beforeAutospacing="0" w:after="0" w:afterAutospacing="0" w:line="560" w:lineRule="exact"/>
        <w:ind w:left="-10" w:leftChars="0" w:firstLine="640" w:firstLineChars="0"/>
        <w:rPr>
          <w:rFonts w:hint="eastAsia" w:ascii="仿宋_GB2312" w:hAnsi="华文仿宋" w:eastAsia="仿宋_GB2312" w:cs="Times New Roman"/>
          <w:kern w:val="2"/>
          <w:sz w:val="32"/>
          <w:szCs w:val="32"/>
          <w:lang w:eastAsia="zh-CN"/>
        </w:rPr>
      </w:pPr>
      <w:r>
        <w:rPr>
          <w:rFonts w:hint="eastAsia" w:ascii="仿宋_GB2312" w:hAnsi="华文仿宋" w:eastAsia="仿宋_GB2312"/>
          <w:sz w:val="32"/>
          <w:szCs w:val="32"/>
          <w:lang w:val="en-US" w:eastAsia="zh-CN"/>
        </w:rPr>
        <w:t>住房公积金支出69.91万元，全部为基本支出。主要用于在职在编人员住房公积金缴费支出。</w:t>
      </w:r>
    </w:p>
    <w:p>
      <w:pPr>
        <w:tabs>
          <w:tab w:val="center" w:pos="4475"/>
        </w:tabs>
        <w:spacing w:line="560" w:lineRule="exact"/>
        <w:ind w:firstLine="645"/>
        <w:rPr>
          <w:rFonts w:hint="eastAsia" w:ascii="黑体" w:hAnsi="黑体" w:eastAsia="黑体" w:cs="黑体"/>
          <w:b/>
          <w:bCs/>
          <w:color w:val="000000"/>
          <w:kern w:val="0"/>
          <w:sz w:val="32"/>
          <w:szCs w:val="32"/>
        </w:rPr>
      </w:pPr>
      <w:r>
        <w:rPr>
          <w:rFonts w:hint="eastAsia" w:ascii="黑体" w:hAnsi="黑体" w:eastAsia="黑体" w:cs="黑体"/>
          <w:b/>
          <w:bCs/>
          <w:color w:val="000000"/>
          <w:kern w:val="0"/>
          <w:sz w:val="32"/>
          <w:szCs w:val="32"/>
        </w:rPr>
        <w:t>六、一般公共预算基本支出情况说明</w:t>
      </w:r>
    </w:p>
    <w:p>
      <w:pPr>
        <w:pStyle w:val="4"/>
        <w:spacing w:before="0" w:beforeAutospacing="0" w:after="0" w:afterAutospacing="0" w:line="560" w:lineRule="exact"/>
        <w:ind w:firstLine="640" w:firstLineChars="200"/>
        <w:jc w:val="both"/>
        <w:rPr>
          <w:rFonts w:hint="eastAsia" w:ascii="仿宋_GB2312" w:hAnsi="华文仿宋" w:eastAsia="仿宋_GB2312" w:cs="Times New Roman"/>
          <w:kern w:val="2"/>
          <w:sz w:val="32"/>
          <w:szCs w:val="32"/>
        </w:rPr>
      </w:pPr>
      <w:r>
        <w:rPr>
          <w:rFonts w:hint="eastAsia" w:ascii="仿宋_GB2312" w:hAnsi="华文仿宋" w:eastAsia="仿宋_GB2312" w:cs="Times New Roman"/>
          <w:kern w:val="2"/>
          <w:sz w:val="32"/>
          <w:szCs w:val="32"/>
        </w:rPr>
        <w:t>2021年单位一般公共预算基本支出</w:t>
      </w:r>
      <w:r>
        <w:rPr>
          <w:rFonts w:hint="eastAsia" w:ascii="仿宋_GB2312" w:hAnsi="华文仿宋" w:eastAsia="仿宋_GB2312" w:cs="Times New Roman"/>
          <w:kern w:val="2"/>
          <w:sz w:val="32"/>
          <w:szCs w:val="32"/>
          <w:lang w:val="en-US" w:eastAsia="zh-CN"/>
        </w:rPr>
        <w:t>1076.77</w:t>
      </w:r>
      <w:r>
        <w:rPr>
          <w:rFonts w:hint="eastAsia" w:ascii="仿宋_GB2312" w:hAnsi="华文仿宋" w:eastAsia="仿宋_GB2312" w:cs="Times New Roman"/>
          <w:kern w:val="2"/>
          <w:sz w:val="32"/>
          <w:szCs w:val="32"/>
        </w:rPr>
        <w:t>万元，其中：</w:t>
      </w:r>
    </w:p>
    <w:p>
      <w:pPr>
        <w:pStyle w:val="4"/>
        <w:spacing w:before="0" w:beforeAutospacing="0" w:after="0" w:afterAutospacing="0" w:line="560" w:lineRule="exact"/>
        <w:ind w:firstLine="640" w:firstLineChars="200"/>
        <w:jc w:val="both"/>
        <w:rPr>
          <w:rFonts w:hint="eastAsia" w:ascii="仿宋_GB2312" w:hAnsi="华文仿宋" w:eastAsia="仿宋_GB2312"/>
          <w:bCs/>
          <w:strike/>
          <w:sz w:val="32"/>
          <w:szCs w:val="32"/>
        </w:rPr>
      </w:pPr>
      <w:r>
        <w:rPr>
          <w:rFonts w:hint="eastAsia" w:ascii="仿宋_GB2312" w:hAnsi="华文仿宋" w:eastAsia="仿宋_GB2312" w:cs="Times New Roman"/>
          <w:kern w:val="2"/>
          <w:sz w:val="32"/>
          <w:szCs w:val="32"/>
        </w:rPr>
        <w:t>（一）人员经费</w:t>
      </w:r>
      <w:r>
        <w:rPr>
          <w:rFonts w:hint="eastAsia" w:ascii="仿宋_GB2312" w:hAnsi="华文仿宋" w:eastAsia="仿宋_GB2312" w:cs="Times New Roman"/>
          <w:kern w:val="2"/>
          <w:sz w:val="32"/>
          <w:szCs w:val="32"/>
          <w:lang w:val="en-US" w:eastAsia="zh-CN"/>
        </w:rPr>
        <w:t>885.12</w:t>
      </w:r>
      <w:r>
        <w:rPr>
          <w:rFonts w:hint="eastAsia" w:ascii="仿宋_GB2312" w:hAnsi="华文仿宋" w:eastAsia="仿宋_GB2312" w:cs="Times New Roman"/>
          <w:kern w:val="2"/>
          <w:sz w:val="32"/>
          <w:szCs w:val="32"/>
        </w:rPr>
        <w:t>万元，主要包括：</w:t>
      </w:r>
      <w:r>
        <w:rPr>
          <w:rFonts w:hint="eastAsia" w:ascii="仿宋_GB2312" w:hAnsi="华文仿宋" w:eastAsia="仿宋_GB2312" w:cs="Times New Roman"/>
          <w:kern w:val="2"/>
          <w:sz w:val="32"/>
          <w:szCs w:val="32"/>
          <w:lang w:eastAsia="zh-CN"/>
        </w:rPr>
        <w:t>基本工资、津贴补贴、奖金、机关事业单位基本养老保险缴费、职业年金缴费、职工基本医疗保险缴费、公务员医疗补助缴费、其他社会保障缴费、住房公积金</w:t>
      </w:r>
      <w:r>
        <w:rPr>
          <w:rFonts w:hint="eastAsia" w:ascii="仿宋_GB2312" w:hAnsi="华文仿宋" w:eastAsia="仿宋_GB2312" w:cs="Times New Roman"/>
          <w:kern w:val="2"/>
          <w:sz w:val="32"/>
          <w:szCs w:val="32"/>
        </w:rPr>
        <w:t>。</w:t>
      </w:r>
    </w:p>
    <w:p>
      <w:pPr>
        <w:adjustRightInd w:val="0"/>
        <w:snapToGrid w:val="0"/>
        <w:spacing w:line="560" w:lineRule="exact"/>
        <w:ind w:right="-218" w:rightChars="-104" w:firstLine="640" w:firstLineChars="200"/>
        <w:rPr>
          <w:rFonts w:hint="eastAsia" w:ascii="仿宋_GB2312" w:hAnsi="华文仿宋" w:eastAsia="仿宋_GB2312" w:cs="宋体"/>
          <w:bCs/>
          <w:color w:val="000000"/>
          <w:kern w:val="0"/>
          <w:sz w:val="32"/>
          <w:szCs w:val="32"/>
          <w:lang w:val="en-US" w:eastAsia="zh-CN" w:bidi="ar-SA"/>
        </w:rPr>
      </w:pPr>
      <w:r>
        <w:rPr>
          <w:rFonts w:hint="eastAsia" w:ascii="仿宋_GB2312" w:hAnsi="华文仿宋" w:eastAsia="仿宋_GB2312"/>
          <w:sz w:val="32"/>
          <w:szCs w:val="32"/>
        </w:rPr>
        <w:t>（二）公用经费</w:t>
      </w:r>
      <w:r>
        <w:rPr>
          <w:rFonts w:hint="eastAsia" w:ascii="仿宋_GB2312" w:hAnsi="华文仿宋" w:eastAsia="仿宋_GB2312"/>
          <w:sz w:val="32"/>
          <w:szCs w:val="32"/>
          <w:lang w:val="en-US" w:eastAsia="zh-CN"/>
        </w:rPr>
        <w:t>191.65</w:t>
      </w:r>
      <w:r>
        <w:rPr>
          <w:rFonts w:hint="eastAsia" w:ascii="仿宋_GB2312" w:hAnsi="华文仿宋" w:eastAsia="仿宋_GB2312"/>
          <w:sz w:val="32"/>
          <w:szCs w:val="32"/>
        </w:rPr>
        <w:t>万元，主要包括：</w:t>
      </w:r>
      <w:r>
        <w:rPr>
          <w:rFonts w:hint="eastAsia" w:ascii="仿宋_GB2312" w:hAnsi="华文仿宋" w:eastAsia="仿宋_GB2312"/>
          <w:sz w:val="32"/>
          <w:szCs w:val="32"/>
          <w:lang w:eastAsia="zh-CN"/>
        </w:rPr>
        <w:t>办公费、印刷</w:t>
      </w:r>
      <w:r>
        <w:rPr>
          <w:rFonts w:hint="eastAsia" w:ascii="仿宋_GB2312" w:hAnsi="华文仿宋" w:eastAsia="仿宋_GB2312" w:cs="宋体"/>
          <w:bCs/>
          <w:color w:val="000000"/>
          <w:kern w:val="0"/>
          <w:sz w:val="32"/>
          <w:szCs w:val="32"/>
          <w:lang w:val="en-US" w:eastAsia="zh-CN" w:bidi="ar-SA"/>
        </w:rPr>
        <w:t>费、水费、电费、邮电费、物业管理费、差旅费、维修（护）费、会议费、培训费、公务接待费、工会经费、其他交通费用、其他商品和服务支出。</w:t>
      </w:r>
    </w:p>
    <w:p>
      <w:pPr>
        <w:tabs>
          <w:tab w:val="center" w:pos="4475"/>
        </w:tabs>
        <w:adjustRightInd w:val="0"/>
        <w:snapToGrid w:val="0"/>
        <w:spacing w:line="560" w:lineRule="exact"/>
        <w:ind w:right="-218" w:rightChars="-104" w:firstLine="643" w:firstLineChars="200"/>
        <w:rPr>
          <w:rFonts w:hint="eastAsia" w:ascii="黑体" w:hAnsi="黑体" w:eastAsia="黑体" w:cs="黑体"/>
          <w:b/>
          <w:bCs/>
          <w:color w:val="000000"/>
          <w:kern w:val="0"/>
          <w:sz w:val="32"/>
          <w:szCs w:val="32"/>
        </w:rPr>
      </w:pPr>
      <w:r>
        <w:rPr>
          <w:rFonts w:hint="eastAsia" w:ascii="黑体" w:hAnsi="黑体" w:eastAsia="黑体" w:cs="黑体"/>
          <w:b/>
          <w:bCs/>
          <w:color w:val="000000"/>
          <w:kern w:val="0"/>
          <w:sz w:val="32"/>
          <w:szCs w:val="32"/>
        </w:rPr>
        <w:t>七、一般公共预算“三公”经费情况说明</w:t>
      </w:r>
    </w:p>
    <w:p>
      <w:pPr>
        <w:pStyle w:val="4"/>
        <w:spacing w:before="0" w:beforeAutospacing="0" w:after="0" w:afterAutospacing="0" w:line="560" w:lineRule="exact"/>
        <w:ind w:firstLine="640" w:firstLineChars="200"/>
        <w:jc w:val="both"/>
        <w:rPr>
          <w:rFonts w:hint="eastAsia" w:ascii="仿宋_GB2312" w:hAnsi="华文仿宋" w:eastAsia="仿宋_GB2312"/>
          <w:bCs/>
          <w:color w:val="000000"/>
          <w:sz w:val="32"/>
          <w:szCs w:val="32"/>
          <w:highlight w:val="none"/>
        </w:rPr>
      </w:pPr>
      <w:r>
        <w:rPr>
          <w:rFonts w:hint="eastAsia" w:ascii="仿宋_GB2312" w:hAnsi="华文仿宋" w:eastAsia="仿宋_GB2312"/>
          <w:bCs/>
          <w:color w:val="000000"/>
          <w:sz w:val="32"/>
          <w:szCs w:val="32"/>
        </w:rPr>
        <w:t>2021年一般公共预算安排的“三公”经费支出预算</w:t>
      </w:r>
      <w:r>
        <w:rPr>
          <w:rFonts w:hint="eastAsia" w:ascii="仿宋_GB2312" w:hAnsi="华文仿宋" w:eastAsia="仿宋_GB2312"/>
          <w:bCs/>
          <w:color w:val="000000"/>
          <w:sz w:val="32"/>
          <w:szCs w:val="32"/>
          <w:lang w:val="en-US" w:eastAsia="zh-CN"/>
        </w:rPr>
        <w:t>2.66</w:t>
      </w:r>
      <w:r>
        <w:rPr>
          <w:rFonts w:hint="eastAsia" w:ascii="仿宋_GB2312" w:hAnsi="华文仿宋" w:eastAsia="仿宋_GB2312"/>
          <w:bCs/>
          <w:color w:val="000000"/>
          <w:sz w:val="32"/>
          <w:szCs w:val="32"/>
        </w:rPr>
        <w:t>万元，同比</w:t>
      </w:r>
      <w:r>
        <w:rPr>
          <w:rFonts w:hint="eastAsia" w:ascii="仿宋_GB2312" w:hAnsi="华文仿宋" w:eastAsia="仿宋_GB2312"/>
          <w:bCs/>
          <w:color w:val="000000"/>
          <w:sz w:val="32"/>
          <w:szCs w:val="32"/>
          <w:lang w:eastAsia="zh-CN"/>
        </w:rPr>
        <w:t>增加</w:t>
      </w:r>
      <w:r>
        <w:rPr>
          <w:rFonts w:hint="eastAsia" w:ascii="仿宋_GB2312" w:hAnsi="华文仿宋" w:eastAsia="仿宋_GB2312"/>
          <w:bCs/>
          <w:color w:val="000000"/>
          <w:sz w:val="32"/>
          <w:szCs w:val="32"/>
          <w:lang w:val="en-US" w:eastAsia="zh-CN"/>
        </w:rPr>
        <w:t>2.66</w:t>
      </w:r>
      <w:r>
        <w:rPr>
          <w:rFonts w:hint="eastAsia" w:ascii="仿宋_GB2312" w:hAnsi="华文仿宋" w:eastAsia="仿宋_GB2312"/>
          <w:bCs/>
          <w:color w:val="000000"/>
          <w:sz w:val="32"/>
          <w:szCs w:val="32"/>
        </w:rPr>
        <w:t>万元</w:t>
      </w:r>
      <w:r>
        <w:rPr>
          <w:rFonts w:hint="eastAsia" w:ascii="仿宋_GB2312" w:hAnsi="华文仿宋" w:eastAsia="仿宋_GB2312"/>
          <w:bCs/>
          <w:color w:val="000000"/>
          <w:sz w:val="32"/>
          <w:szCs w:val="32"/>
          <w:highlight w:val="none"/>
        </w:rPr>
        <w:t>，同比</w:t>
      </w:r>
      <w:r>
        <w:rPr>
          <w:rFonts w:hint="eastAsia" w:ascii="仿宋_GB2312" w:hAnsi="华文仿宋" w:eastAsia="仿宋_GB2312"/>
          <w:bCs/>
          <w:color w:val="000000"/>
          <w:sz w:val="32"/>
          <w:szCs w:val="32"/>
          <w:highlight w:val="none"/>
          <w:lang w:eastAsia="zh-CN"/>
        </w:rPr>
        <w:t>上涨</w:t>
      </w:r>
      <w:r>
        <w:rPr>
          <w:rFonts w:hint="eastAsia" w:ascii="仿宋_GB2312" w:hAnsi="华文仿宋" w:eastAsia="仿宋_GB2312"/>
          <w:bCs/>
          <w:color w:val="000000"/>
          <w:sz w:val="32"/>
          <w:szCs w:val="32"/>
          <w:highlight w:val="none"/>
          <w:lang w:val="en-US" w:eastAsia="zh-CN"/>
        </w:rPr>
        <w:t>100</w:t>
      </w:r>
      <w:r>
        <w:rPr>
          <w:rFonts w:hint="eastAsia" w:ascii="仿宋_GB2312" w:hAnsi="华文仿宋" w:eastAsia="仿宋_GB2312"/>
          <w:bCs/>
          <w:color w:val="000000"/>
          <w:sz w:val="32"/>
          <w:szCs w:val="32"/>
          <w:highlight w:val="none"/>
        </w:rPr>
        <w:t>%。其中：</w:t>
      </w:r>
    </w:p>
    <w:p>
      <w:pPr>
        <w:pStyle w:val="4"/>
        <w:numPr>
          <w:ilvl w:val="0"/>
          <w:numId w:val="3"/>
        </w:numPr>
        <w:spacing w:before="0" w:beforeAutospacing="0" w:after="0" w:afterAutospacing="0" w:line="560" w:lineRule="exact"/>
        <w:ind w:firstLine="640" w:firstLineChars="200"/>
        <w:jc w:val="both"/>
        <w:rPr>
          <w:rFonts w:hint="eastAsia" w:ascii="仿宋_GB2312" w:hAnsi="华文仿宋" w:eastAsia="仿宋_GB2312"/>
          <w:bCs/>
          <w:color w:val="000000"/>
          <w:sz w:val="32"/>
          <w:szCs w:val="32"/>
          <w:highlight w:val="none"/>
          <w:lang w:eastAsia="zh-CN"/>
        </w:rPr>
      </w:pPr>
      <w:r>
        <w:rPr>
          <w:rFonts w:hint="eastAsia" w:ascii="仿宋_GB2312" w:hAnsi="华文仿宋" w:eastAsia="仿宋_GB2312"/>
          <w:bCs/>
          <w:color w:val="000000"/>
          <w:sz w:val="32"/>
          <w:szCs w:val="32"/>
          <w:highlight w:val="none"/>
        </w:rPr>
        <w:t>因公出国（境）经费2021年预算</w:t>
      </w:r>
      <w:r>
        <w:rPr>
          <w:rFonts w:hint="eastAsia" w:ascii="仿宋_GB2312" w:hAnsi="华文仿宋" w:eastAsia="仿宋_GB2312"/>
          <w:bCs/>
          <w:color w:val="000000"/>
          <w:sz w:val="32"/>
          <w:szCs w:val="32"/>
          <w:highlight w:val="none"/>
          <w:lang w:val="en-US" w:eastAsia="zh-CN"/>
        </w:rPr>
        <w:t>0</w:t>
      </w:r>
      <w:r>
        <w:rPr>
          <w:rFonts w:hint="eastAsia" w:ascii="仿宋_GB2312" w:hAnsi="华文仿宋" w:eastAsia="仿宋_GB2312"/>
          <w:bCs/>
          <w:color w:val="000000"/>
          <w:sz w:val="32"/>
          <w:szCs w:val="32"/>
          <w:highlight w:val="none"/>
        </w:rPr>
        <w:t>万元，</w:t>
      </w:r>
      <w:r>
        <w:rPr>
          <w:rFonts w:hint="eastAsia" w:ascii="仿宋_GB2312" w:hAnsi="华文仿宋" w:eastAsia="仿宋_GB2312"/>
          <w:sz w:val="32"/>
          <w:szCs w:val="32"/>
          <w:highlight w:val="none"/>
        </w:rPr>
        <w:t>同比上年持平</w:t>
      </w:r>
      <w:r>
        <w:rPr>
          <w:rFonts w:hint="eastAsia" w:ascii="仿宋_GB2312" w:hAnsi="华文仿宋" w:eastAsia="仿宋_GB2312"/>
          <w:bCs/>
          <w:color w:val="000000"/>
          <w:sz w:val="32"/>
          <w:szCs w:val="32"/>
          <w:highlight w:val="none"/>
          <w:lang w:eastAsia="zh-CN"/>
        </w:rPr>
        <w:t>。</w:t>
      </w:r>
    </w:p>
    <w:p>
      <w:pPr>
        <w:pStyle w:val="4"/>
        <w:numPr>
          <w:ilvl w:val="0"/>
          <w:numId w:val="0"/>
        </w:numPr>
        <w:spacing w:before="0" w:beforeAutospacing="0" w:after="0" w:afterAutospacing="0" w:line="560" w:lineRule="exact"/>
        <w:ind w:firstLine="640" w:firstLineChars="200"/>
        <w:jc w:val="both"/>
        <w:rPr>
          <w:rFonts w:hint="eastAsia" w:ascii="仿宋_GB2312" w:hAnsi="华文仿宋" w:eastAsia="仿宋_GB2312"/>
          <w:bCs/>
          <w:color w:val="000000"/>
          <w:sz w:val="32"/>
          <w:szCs w:val="32"/>
          <w:highlight w:val="none"/>
        </w:rPr>
      </w:pPr>
      <w:r>
        <w:rPr>
          <w:rFonts w:hint="eastAsia" w:ascii="仿宋_GB2312" w:hAnsi="华文仿宋" w:eastAsia="仿宋_GB2312" w:cs="Times New Roman"/>
          <w:kern w:val="2"/>
          <w:sz w:val="32"/>
          <w:szCs w:val="32"/>
          <w:highlight w:val="none"/>
        </w:rPr>
        <w:t>（二）</w:t>
      </w:r>
      <w:r>
        <w:rPr>
          <w:rFonts w:hint="eastAsia" w:ascii="仿宋_GB2312" w:hAnsi="华文仿宋" w:eastAsia="仿宋_GB2312"/>
          <w:bCs/>
          <w:color w:val="000000"/>
          <w:sz w:val="32"/>
          <w:szCs w:val="32"/>
          <w:highlight w:val="none"/>
        </w:rPr>
        <w:t>公务接待费2021年预算</w:t>
      </w:r>
      <w:r>
        <w:rPr>
          <w:rFonts w:hint="eastAsia" w:ascii="仿宋_GB2312" w:hAnsi="华文仿宋" w:eastAsia="仿宋_GB2312"/>
          <w:bCs/>
          <w:color w:val="000000"/>
          <w:sz w:val="32"/>
          <w:szCs w:val="32"/>
          <w:highlight w:val="none"/>
          <w:lang w:val="en-US" w:eastAsia="zh-CN"/>
        </w:rPr>
        <w:t>2.66</w:t>
      </w:r>
      <w:r>
        <w:rPr>
          <w:rFonts w:hint="eastAsia" w:ascii="仿宋_GB2312" w:hAnsi="华文仿宋" w:eastAsia="仿宋_GB2312"/>
          <w:bCs/>
          <w:color w:val="000000"/>
          <w:sz w:val="32"/>
          <w:szCs w:val="32"/>
          <w:highlight w:val="none"/>
        </w:rPr>
        <w:t>万元，</w:t>
      </w:r>
      <w:r>
        <w:rPr>
          <w:rFonts w:hint="eastAsia" w:ascii="仿宋_GB2312" w:hAnsi="华文仿宋" w:eastAsia="仿宋_GB2312"/>
          <w:bCs/>
          <w:color w:val="000000"/>
          <w:sz w:val="32"/>
          <w:szCs w:val="32"/>
        </w:rPr>
        <w:t>同比</w:t>
      </w:r>
      <w:r>
        <w:rPr>
          <w:rFonts w:hint="eastAsia" w:ascii="仿宋_GB2312" w:hAnsi="华文仿宋" w:eastAsia="仿宋_GB2312"/>
          <w:bCs/>
          <w:color w:val="000000"/>
          <w:sz w:val="32"/>
          <w:szCs w:val="32"/>
          <w:lang w:eastAsia="zh-CN"/>
        </w:rPr>
        <w:t>增加</w:t>
      </w:r>
      <w:r>
        <w:rPr>
          <w:rFonts w:hint="eastAsia" w:ascii="仿宋_GB2312" w:hAnsi="华文仿宋" w:eastAsia="仿宋_GB2312"/>
          <w:bCs/>
          <w:color w:val="000000"/>
          <w:sz w:val="32"/>
          <w:szCs w:val="32"/>
          <w:lang w:val="en-US" w:eastAsia="zh-CN"/>
        </w:rPr>
        <w:t>2.66</w:t>
      </w:r>
      <w:r>
        <w:rPr>
          <w:rFonts w:hint="eastAsia" w:ascii="仿宋_GB2312" w:hAnsi="华文仿宋" w:eastAsia="仿宋_GB2312"/>
          <w:bCs/>
          <w:color w:val="000000"/>
          <w:sz w:val="32"/>
          <w:szCs w:val="32"/>
        </w:rPr>
        <w:t>万元</w:t>
      </w:r>
      <w:r>
        <w:rPr>
          <w:rFonts w:hint="eastAsia" w:ascii="仿宋_GB2312" w:hAnsi="华文仿宋" w:eastAsia="仿宋_GB2312"/>
          <w:bCs/>
          <w:color w:val="000000"/>
          <w:sz w:val="32"/>
          <w:szCs w:val="32"/>
          <w:highlight w:val="none"/>
        </w:rPr>
        <w:t>，同比</w:t>
      </w:r>
      <w:r>
        <w:rPr>
          <w:rFonts w:hint="eastAsia" w:ascii="仿宋_GB2312" w:hAnsi="华文仿宋" w:eastAsia="仿宋_GB2312"/>
          <w:bCs/>
          <w:color w:val="000000"/>
          <w:sz w:val="32"/>
          <w:szCs w:val="32"/>
          <w:highlight w:val="none"/>
          <w:lang w:eastAsia="zh-CN"/>
        </w:rPr>
        <w:t>上涨</w:t>
      </w:r>
      <w:r>
        <w:rPr>
          <w:rFonts w:hint="eastAsia" w:ascii="仿宋_GB2312" w:hAnsi="华文仿宋" w:eastAsia="仿宋_GB2312"/>
          <w:bCs/>
          <w:color w:val="000000"/>
          <w:sz w:val="32"/>
          <w:szCs w:val="32"/>
          <w:highlight w:val="none"/>
          <w:lang w:val="en-US" w:eastAsia="zh-CN"/>
        </w:rPr>
        <w:t>100%</w:t>
      </w:r>
      <w:r>
        <w:rPr>
          <w:rFonts w:hint="eastAsia" w:ascii="仿宋_GB2312" w:hAnsi="华文仿宋" w:eastAsia="仿宋_GB2312"/>
          <w:bCs/>
          <w:color w:val="000000"/>
          <w:sz w:val="32"/>
          <w:szCs w:val="32"/>
          <w:highlight w:val="none"/>
        </w:rPr>
        <w:t>。 主要用于</w:t>
      </w:r>
      <w:r>
        <w:rPr>
          <w:rFonts w:hint="eastAsia" w:ascii="仿宋_GB2312" w:hAnsi="华文仿宋" w:eastAsia="仿宋_GB2312"/>
          <w:bCs/>
          <w:color w:val="000000"/>
          <w:sz w:val="32"/>
          <w:szCs w:val="32"/>
          <w:highlight w:val="none"/>
          <w:lang w:eastAsia="zh-CN"/>
        </w:rPr>
        <w:t>上级部门来我院进行调研、指导、检查工作时进行公务接待</w:t>
      </w:r>
      <w:r>
        <w:rPr>
          <w:rFonts w:hint="eastAsia" w:ascii="仿宋_GB2312" w:hAnsi="华文仿宋" w:eastAsia="仿宋_GB2312"/>
          <w:bCs/>
          <w:color w:val="000000"/>
          <w:sz w:val="32"/>
          <w:szCs w:val="32"/>
          <w:highlight w:val="none"/>
        </w:rPr>
        <w:t xml:space="preserve">。                                           </w:t>
      </w:r>
    </w:p>
    <w:p>
      <w:pPr>
        <w:pStyle w:val="4"/>
        <w:spacing w:before="0" w:beforeAutospacing="0" w:after="0" w:afterAutospacing="0" w:line="560" w:lineRule="exact"/>
        <w:ind w:firstLine="640" w:firstLineChars="200"/>
        <w:jc w:val="both"/>
        <w:rPr>
          <w:rFonts w:hint="eastAsia" w:ascii="仿宋_GB2312" w:hAnsi="华文仿宋" w:eastAsia="仿宋_GB2312"/>
          <w:bCs/>
          <w:color w:val="000000"/>
          <w:sz w:val="32"/>
          <w:szCs w:val="32"/>
          <w:highlight w:val="none"/>
          <w:lang w:eastAsia="zh-CN"/>
        </w:rPr>
      </w:pPr>
      <w:r>
        <w:rPr>
          <w:rFonts w:hint="eastAsia" w:ascii="仿宋_GB2312" w:hAnsi="华文仿宋" w:eastAsia="仿宋_GB2312"/>
          <w:bCs/>
          <w:sz w:val="32"/>
          <w:szCs w:val="32"/>
          <w:highlight w:val="none"/>
        </w:rPr>
        <w:t>（三）</w:t>
      </w:r>
      <w:r>
        <w:rPr>
          <w:rFonts w:hint="eastAsia" w:ascii="仿宋_GB2312" w:hAnsi="华文仿宋" w:eastAsia="仿宋_GB2312"/>
          <w:bCs/>
          <w:color w:val="000000"/>
          <w:sz w:val="32"/>
          <w:szCs w:val="32"/>
          <w:highlight w:val="none"/>
        </w:rPr>
        <w:t>公务用车购置及运行费2021年预算</w:t>
      </w:r>
      <w:r>
        <w:rPr>
          <w:rFonts w:hint="eastAsia" w:ascii="仿宋_GB2312" w:hAnsi="华文仿宋" w:eastAsia="仿宋_GB2312"/>
          <w:bCs/>
          <w:color w:val="000000"/>
          <w:sz w:val="32"/>
          <w:szCs w:val="32"/>
          <w:highlight w:val="none"/>
          <w:lang w:val="en-US" w:eastAsia="zh-CN"/>
        </w:rPr>
        <w:t>0</w:t>
      </w:r>
      <w:r>
        <w:rPr>
          <w:rFonts w:hint="eastAsia" w:ascii="仿宋_GB2312" w:hAnsi="华文仿宋" w:eastAsia="仿宋_GB2312"/>
          <w:bCs/>
          <w:color w:val="000000"/>
          <w:sz w:val="32"/>
          <w:szCs w:val="32"/>
          <w:highlight w:val="none"/>
        </w:rPr>
        <w:t>万元，</w:t>
      </w:r>
      <w:r>
        <w:rPr>
          <w:rFonts w:hint="eastAsia" w:ascii="仿宋_GB2312" w:hAnsi="华文仿宋" w:eastAsia="仿宋_GB2312"/>
          <w:sz w:val="32"/>
          <w:szCs w:val="32"/>
          <w:highlight w:val="none"/>
        </w:rPr>
        <w:t>同比上年持平</w:t>
      </w:r>
      <w:r>
        <w:rPr>
          <w:rFonts w:hint="eastAsia" w:ascii="仿宋_GB2312" w:hAnsi="华文仿宋" w:eastAsia="仿宋_GB2312"/>
          <w:bCs/>
          <w:color w:val="000000"/>
          <w:sz w:val="32"/>
          <w:szCs w:val="32"/>
          <w:highlight w:val="none"/>
        </w:rPr>
        <w:t>。</w:t>
      </w:r>
    </w:p>
    <w:p>
      <w:pPr>
        <w:tabs>
          <w:tab w:val="center" w:pos="4475"/>
        </w:tabs>
        <w:spacing w:line="560" w:lineRule="exact"/>
        <w:ind w:firstLine="645"/>
        <w:rPr>
          <w:rFonts w:hint="eastAsia" w:ascii="黑体" w:hAnsi="黑体" w:eastAsia="黑体" w:cs="黑体"/>
          <w:b/>
          <w:bCs/>
          <w:color w:val="000000"/>
          <w:kern w:val="0"/>
          <w:sz w:val="32"/>
          <w:szCs w:val="32"/>
          <w:highlight w:val="none"/>
        </w:rPr>
      </w:pPr>
      <w:r>
        <w:rPr>
          <w:rFonts w:hint="eastAsia" w:ascii="黑体" w:hAnsi="黑体" w:eastAsia="黑体" w:cs="黑体"/>
          <w:b/>
          <w:bCs/>
          <w:color w:val="000000"/>
          <w:kern w:val="0"/>
          <w:sz w:val="32"/>
          <w:szCs w:val="32"/>
          <w:highlight w:val="none"/>
        </w:rPr>
        <w:t>八、政府性基金预算情况说明</w:t>
      </w:r>
    </w:p>
    <w:p>
      <w:pPr>
        <w:tabs>
          <w:tab w:val="center" w:pos="4475"/>
        </w:tabs>
        <w:spacing w:line="560" w:lineRule="exact"/>
        <w:rPr>
          <w:rFonts w:hint="eastAsia" w:ascii="仿宋_GB2312" w:hAnsi="华文仿宋" w:eastAsia="仿宋_GB2312"/>
          <w:sz w:val="32"/>
          <w:szCs w:val="32"/>
          <w:highlight w:val="none"/>
          <w:lang w:eastAsia="zh-CN"/>
        </w:rPr>
      </w:pPr>
      <w:r>
        <w:rPr>
          <w:rFonts w:hint="eastAsia" w:ascii="仿宋_GB2312" w:hAnsi="华文仿宋" w:eastAsia="仿宋_GB2312"/>
          <w:sz w:val="32"/>
          <w:szCs w:val="32"/>
          <w:highlight w:val="none"/>
        </w:rPr>
        <w:t>2021年本单位无政府性基金预算支出安排</w:t>
      </w:r>
      <w:r>
        <w:rPr>
          <w:rFonts w:hint="eastAsia" w:ascii="仿宋_GB2312" w:hAnsi="华文仿宋" w:eastAsia="仿宋_GB2312"/>
          <w:sz w:val="32"/>
          <w:szCs w:val="32"/>
          <w:highlight w:val="none"/>
          <w:lang w:eastAsia="zh-CN"/>
        </w:rPr>
        <w:t>。</w:t>
      </w:r>
    </w:p>
    <w:p>
      <w:pPr>
        <w:tabs>
          <w:tab w:val="center" w:pos="4475"/>
        </w:tabs>
        <w:spacing w:line="560" w:lineRule="exact"/>
        <w:ind w:firstLine="643" w:firstLineChars="200"/>
        <w:rPr>
          <w:rFonts w:hint="eastAsia" w:ascii="黑体" w:hAnsi="黑体" w:eastAsia="黑体" w:cs="黑体"/>
          <w:b/>
          <w:bCs/>
          <w:color w:val="000000"/>
          <w:kern w:val="0"/>
          <w:sz w:val="32"/>
          <w:szCs w:val="32"/>
          <w:highlight w:val="none"/>
        </w:rPr>
      </w:pPr>
      <w:r>
        <w:rPr>
          <w:rFonts w:hint="eastAsia" w:ascii="黑体" w:hAnsi="黑体" w:eastAsia="黑体" w:cs="黑体"/>
          <w:b/>
          <w:bCs/>
          <w:color w:val="000000"/>
          <w:kern w:val="0"/>
          <w:sz w:val="32"/>
          <w:szCs w:val="32"/>
          <w:highlight w:val="none"/>
        </w:rPr>
        <w:t>九、国有资本经营预算情况说明</w:t>
      </w:r>
    </w:p>
    <w:p>
      <w:pPr>
        <w:pStyle w:val="4"/>
        <w:spacing w:before="0" w:beforeAutospacing="0" w:after="0" w:afterAutospacing="0" w:line="560" w:lineRule="exact"/>
        <w:jc w:val="both"/>
        <w:rPr>
          <w:rFonts w:hint="eastAsia" w:ascii="黑体" w:hAnsi="黑体" w:eastAsia="黑体" w:cs="黑体"/>
          <w:b/>
          <w:bCs/>
          <w:color w:val="000000"/>
          <w:sz w:val="32"/>
          <w:szCs w:val="32"/>
          <w:highlight w:val="none"/>
        </w:rPr>
      </w:pPr>
      <w:r>
        <w:rPr>
          <w:rFonts w:hint="eastAsia" w:ascii="仿宋_GB2312" w:hAnsi="华文仿宋" w:eastAsia="仿宋_GB2312" w:cs="Times New Roman"/>
          <w:kern w:val="2"/>
          <w:sz w:val="32"/>
          <w:szCs w:val="32"/>
          <w:highlight w:val="none"/>
        </w:rPr>
        <w:t>2021年本单位无国有资本经营预算支出安排</w:t>
      </w:r>
      <w:r>
        <w:rPr>
          <w:rFonts w:hint="eastAsia" w:ascii="仿宋_GB2312" w:hAnsi="华文仿宋" w:eastAsia="仿宋_GB2312"/>
          <w:sz w:val="32"/>
          <w:szCs w:val="32"/>
          <w:highlight w:val="none"/>
        </w:rPr>
        <w:t>。</w:t>
      </w:r>
    </w:p>
    <w:p>
      <w:pPr>
        <w:tabs>
          <w:tab w:val="center" w:pos="4475"/>
        </w:tabs>
        <w:spacing w:line="560" w:lineRule="exact"/>
        <w:ind w:firstLine="643" w:firstLineChars="200"/>
        <w:rPr>
          <w:rFonts w:hint="eastAsia" w:ascii="黑体" w:hAnsi="黑体" w:eastAsia="黑体" w:cs="黑体"/>
          <w:b/>
          <w:bCs/>
          <w:color w:val="000000"/>
          <w:kern w:val="0"/>
          <w:sz w:val="32"/>
          <w:szCs w:val="32"/>
          <w:highlight w:val="none"/>
        </w:rPr>
      </w:pPr>
      <w:r>
        <w:rPr>
          <w:rFonts w:hint="eastAsia" w:ascii="黑体" w:hAnsi="黑体" w:eastAsia="黑体" w:cs="黑体"/>
          <w:b/>
          <w:bCs/>
          <w:color w:val="000000"/>
          <w:kern w:val="0"/>
          <w:sz w:val="32"/>
          <w:szCs w:val="32"/>
          <w:highlight w:val="none"/>
        </w:rPr>
        <w:t>十、政府采购预算情况说明</w:t>
      </w:r>
    </w:p>
    <w:p>
      <w:pPr>
        <w:spacing w:line="560" w:lineRule="exact"/>
        <w:ind w:firstLine="640" w:firstLineChars="200"/>
        <w:rPr>
          <w:rFonts w:hint="eastAsia" w:ascii="仿宋_GB2312" w:hAnsi="华文仿宋" w:eastAsia="仿宋_GB2312" w:cs="宋体"/>
          <w:bCs/>
          <w:color w:val="000000"/>
          <w:kern w:val="0"/>
          <w:sz w:val="32"/>
          <w:szCs w:val="32"/>
        </w:rPr>
      </w:pPr>
      <w:r>
        <w:rPr>
          <w:rFonts w:hint="eastAsia" w:ascii="仿宋_GB2312" w:hAnsi="华文仿宋" w:eastAsia="仿宋_GB2312" w:cs="宋体"/>
          <w:bCs/>
          <w:color w:val="000000"/>
          <w:kern w:val="0"/>
          <w:sz w:val="32"/>
          <w:szCs w:val="32"/>
          <w:highlight w:val="none"/>
        </w:rPr>
        <w:t>2021年政府采购预算</w:t>
      </w:r>
      <w:r>
        <w:rPr>
          <w:rFonts w:hint="eastAsia" w:ascii="仿宋_GB2312" w:hAnsi="华文仿宋" w:eastAsia="仿宋_GB2312" w:cs="宋体"/>
          <w:bCs/>
          <w:color w:val="000000"/>
          <w:kern w:val="0"/>
          <w:sz w:val="32"/>
          <w:szCs w:val="32"/>
          <w:highlight w:val="none"/>
          <w:lang w:val="en-US" w:eastAsia="zh-CN"/>
        </w:rPr>
        <w:t>100.35</w:t>
      </w:r>
      <w:r>
        <w:rPr>
          <w:rFonts w:hint="eastAsia" w:ascii="仿宋_GB2312" w:hAnsi="华文仿宋" w:eastAsia="仿宋_GB2312" w:cs="宋体"/>
          <w:bCs/>
          <w:color w:val="000000"/>
          <w:kern w:val="0"/>
          <w:sz w:val="32"/>
          <w:szCs w:val="32"/>
          <w:highlight w:val="none"/>
        </w:rPr>
        <w:t>万元，同比增加</w:t>
      </w:r>
      <w:r>
        <w:rPr>
          <w:rFonts w:hint="eastAsia" w:ascii="仿宋_GB2312" w:hAnsi="华文仿宋" w:eastAsia="仿宋_GB2312" w:cs="宋体"/>
          <w:bCs/>
          <w:color w:val="000000"/>
          <w:kern w:val="0"/>
          <w:sz w:val="32"/>
          <w:szCs w:val="32"/>
          <w:highlight w:val="none"/>
          <w:lang w:val="en-US" w:eastAsia="zh-CN"/>
        </w:rPr>
        <w:t>100</w:t>
      </w:r>
      <w:r>
        <w:rPr>
          <w:rFonts w:hint="eastAsia" w:ascii="仿宋_GB2312" w:hAnsi="华文仿宋" w:eastAsia="仿宋_GB2312" w:cs="宋体"/>
          <w:bCs/>
          <w:color w:val="000000"/>
          <w:kern w:val="0"/>
          <w:sz w:val="32"/>
          <w:szCs w:val="32"/>
          <w:lang w:val="en-US" w:eastAsia="zh-CN"/>
        </w:rPr>
        <w:t>.35</w:t>
      </w:r>
      <w:r>
        <w:rPr>
          <w:rFonts w:hint="eastAsia" w:ascii="仿宋_GB2312" w:hAnsi="华文仿宋" w:eastAsia="仿宋_GB2312" w:cs="宋体"/>
          <w:bCs/>
          <w:color w:val="000000"/>
          <w:kern w:val="0"/>
          <w:sz w:val="32"/>
          <w:szCs w:val="32"/>
        </w:rPr>
        <w:t>万元，增长</w:t>
      </w:r>
      <w:r>
        <w:rPr>
          <w:rFonts w:hint="eastAsia" w:ascii="仿宋_GB2312" w:hAnsi="华文仿宋" w:eastAsia="仿宋_GB2312" w:cs="宋体"/>
          <w:bCs/>
          <w:color w:val="000000"/>
          <w:kern w:val="0"/>
          <w:sz w:val="32"/>
          <w:szCs w:val="32"/>
          <w:lang w:val="en-US" w:eastAsia="zh-CN"/>
        </w:rPr>
        <w:t>100</w:t>
      </w:r>
      <w:r>
        <w:rPr>
          <w:rFonts w:hint="eastAsia" w:ascii="仿宋_GB2312" w:hAnsi="华文仿宋" w:eastAsia="仿宋_GB2312" w:cs="宋体"/>
          <w:bCs/>
          <w:color w:val="000000"/>
          <w:kern w:val="0"/>
          <w:sz w:val="32"/>
          <w:szCs w:val="32"/>
        </w:rPr>
        <w:t>%。</w:t>
      </w:r>
    </w:p>
    <w:p>
      <w:pPr>
        <w:spacing w:line="560" w:lineRule="exact"/>
        <w:ind w:firstLine="640" w:firstLineChars="200"/>
        <w:rPr>
          <w:rFonts w:hint="eastAsia" w:ascii="仿宋_GB2312" w:hAnsi="华文仿宋" w:eastAsia="仿宋_GB2312" w:cs="宋体"/>
          <w:bCs/>
          <w:color w:val="000000"/>
          <w:kern w:val="0"/>
          <w:sz w:val="32"/>
          <w:szCs w:val="32"/>
        </w:rPr>
      </w:pPr>
      <w:r>
        <w:rPr>
          <w:rFonts w:hint="eastAsia" w:ascii="仿宋_GB2312" w:hAnsi="华文仿宋" w:eastAsia="仿宋_GB2312" w:cs="宋体"/>
          <w:bCs/>
          <w:color w:val="000000"/>
          <w:kern w:val="0"/>
          <w:sz w:val="32"/>
          <w:szCs w:val="32"/>
        </w:rPr>
        <w:t>（一）按政府采购项目类型划分</w:t>
      </w:r>
    </w:p>
    <w:p>
      <w:pPr>
        <w:spacing w:line="560" w:lineRule="exact"/>
        <w:ind w:firstLine="640" w:firstLineChars="200"/>
        <w:rPr>
          <w:rFonts w:hint="eastAsia" w:ascii="仿宋_GB2312" w:hAnsi="华文仿宋" w:eastAsia="仿宋_GB2312" w:cs="宋体"/>
          <w:bCs/>
          <w:color w:val="000000"/>
          <w:kern w:val="0"/>
          <w:sz w:val="32"/>
          <w:szCs w:val="32"/>
        </w:rPr>
      </w:pPr>
      <w:r>
        <w:rPr>
          <w:rFonts w:hint="eastAsia" w:ascii="仿宋_GB2312" w:hAnsi="华文仿宋" w:eastAsia="仿宋_GB2312" w:cs="宋体"/>
          <w:bCs/>
          <w:color w:val="000000"/>
          <w:kern w:val="0"/>
          <w:sz w:val="32"/>
          <w:szCs w:val="32"/>
        </w:rPr>
        <w:t>政府集中采购预算</w:t>
      </w:r>
      <w:r>
        <w:rPr>
          <w:rFonts w:hint="eastAsia" w:ascii="仿宋_GB2312" w:hAnsi="华文仿宋" w:eastAsia="仿宋_GB2312" w:cs="宋体"/>
          <w:bCs/>
          <w:color w:val="000000"/>
          <w:kern w:val="0"/>
          <w:sz w:val="32"/>
          <w:szCs w:val="32"/>
          <w:lang w:val="en-US" w:eastAsia="zh-CN"/>
        </w:rPr>
        <w:t>100.35</w:t>
      </w:r>
      <w:r>
        <w:rPr>
          <w:rFonts w:hint="eastAsia" w:ascii="仿宋_GB2312" w:hAnsi="华文仿宋" w:eastAsia="仿宋_GB2312" w:cs="宋体"/>
          <w:bCs/>
          <w:color w:val="000000"/>
          <w:kern w:val="0"/>
          <w:sz w:val="32"/>
          <w:szCs w:val="32"/>
        </w:rPr>
        <w:t>万元,占政府采购预算的</w:t>
      </w:r>
      <w:r>
        <w:rPr>
          <w:rFonts w:hint="eastAsia" w:ascii="仿宋_GB2312" w:hAnsi="华文仿宋" w:eastAsia="仿宋_GB2312" w:cs="宋体"/>
          <w:bCs/>
          <w:color w:val="000000"/>
          <w:kern w:val="0"/>
          <w:sz w:val="32"/>
          <w:szCs w:val="32"/>
          <w:lang w:val="en-US" w:eastAsia="zh-CN"/>
        </w:rPr>
        <w:t>100</w:t>
      </w:r>
      <w:r>
        <w:rPr>
          <w:rFonts w:hint="eastAsia" w:ascii="仿宋_GB2312" w:hAnsi="华文仿宋" w:eastAsia="仿宋_GB2312" w:cs="宋体"/>
          <w:bCs/>
          <w:color w:val="000000"/>
          <w:kern w:val="0"/>
          <w:sz w:val="32"/>
          <w:szCs w:val="32"/>
        </w:rPr>
        <w:t>%，同比增加</w:t>
      </w:r>
      <w:r>
        <w:rPr>
          <w:rFonts w:hint="eastAsia" w:ascii="仿宋_GB2312" w:hAnsi="华文仿宋" w:eastAsia="仿宋_GB2312" w:cs="宋体"/>
          <w:bCs/>
          <w:color w:val="000000"/>
          <w:kern w:val="0"/>
          <w:sz w:val="32"/>
          <w:szCs w:val="32"/>
          <w:lang w:val="en-US" w:eastAsia="zh-CN"/>
        </w:rPr>
        <w:t>100.35</w:t>
      </w:r>
      <w:r>
        <w:rPr>
          <w:rFonts w:hint="eastAsia" w:ascii="仿宋_GB2312" w:hAnsi="华文仿宋" w:eastAsia="仿宋_GB2312" w:cs="宋体"/>
          <w:bCs/>
          <w:color w:val="000000"/>
          <w:kern w:val="0"/>
          <w:sz w:val="32"/>
          <w:szCs w:val="32"/>
        </w:rPr>
        <w:t>万元，增长</w:t>
      </w:r>
      <w:r>
        <w:rPr>
          <w:rFonts w:hint="eastAsia" w:ascii="仿宋_GB2312" w:hAnsi="华文仿宋" w:eastAsia="仿宋_GB2312" w:cs="宋体"/>
          <w:bCs/>
          <w:color w:val="000000"/>
          <w:kern w:val="0"/>
          <w:sz w:val="32"/>
          <w:szCs w:val="32"/>
          <w:lang w:val="en-US" w:eastAsia="zh-CN"/>
        </w:rPr>
        <w:t>100</w:t>
      </w:r>
      <w:r>
        <w:rPr>
          <w:rFonts w:hint="eastAsia" w:ascii="仿宋_GB2312" w:hAnsi="华文仿宋" w:eastAsia="仿宋_GB2312" w:cs="宋体"/>
          <w:bCs/>
          <w:color w:val="000000"/>
          <w:kern w:val="0"/>
          <w:sz w:val="32"/>
          <w:szCs w:val="32"/>
        </w:rPr>
        <w:t>%。</w:t>
      </w:r>
    </w:p>
    <w:p>
      <w:pPr>
        <w:spacing w:line="560" w:lineRule="exact"/>
        <w:ind w:firstLine="640" w:firstLineChars="200"/>
        <w:rPr>
          <w:rFonts w:hint="eastAsia" w:ascii="仿宋_GB2312" w:hAnsi="华文仿宋" w:eastAsia="仿宋_GB2312"/>
          <w:sz w:val="32"/>
          <w:szCs w:val="32"/>
        </w:rPr>
      </w:pPr>
      <w:r>
        <w:rPr>
          <w:rFonts w:hint="eastAsia" w:ascii="仿宋_GB2312" w:hAnsi="华文仿宋" w:eastAsia="仿宋_GB2312" w:cs="宋体"/>
          <w:bCs/>
          <w:color w:val="000000"/>
          <w:kern w:val="0"/>
          <w:sz w:val="32"/>
          <w:szCs w:val="32"/>
        </w:rPr>
        <w:t>（二）</w:t>
      </w:r>
      <w:r>
        <w:rPr>
          <w:rFonts w:hint="eastAsia" w:ascii="仿宋_GB2312" w:hAnsi="华文仿宋" w:eastAsia="仿宋_GB2312"/>
          <w:sz w:val="32"/>
          <w:szCs w:val="32"/>
        </w:rPr>
        <w:t>按政府采购资金来源划分</w:t>
      </w:r>
    </w:p>
    <w:p>
      <w:pPr>
        <w:spacing w:line="560" w:lineRule="exact"/>
        <w:ind w:firstLine="640" w:firstLineChars="200"/>
        <w:rPr>
          <w:rFonts w:hint="eastAsia" w:ascii="仿宋_GB2312" w:hAnsi="华文仿宋" w:eastAsia="仿宋_GB2312"/>
          <w:sz w:val="32"/>
          <w:szCs w:val="32"/>
          <w:lang w:eastAsia="zh-CN"/>
        </w:rPr>
      </w:pPr>
      <w:r>
        <w:rPr>
          <w:rFonts w:hint="eastAsia" w:ascii="仿宋_GB2312" w:hAnsi="华文仿宋" w:eastAsia="仿宋_GB2312"/>
          <w:sz w:val="32"/>
          <w:szCs w:val="32"/>
        </w:rPr>
        <w:t>通过一般公共预算安排采购支出预算</w:t>
      </w:r>
      <w:r>
        <w:rPr>
          <w:rFonts w:hint="eastAsia" w:ascii="仿宋_GB2312" w:hAnsi="华文仿宋" w:eastAsia="仿宋_GB2312"/>
          <w:sz w:val="32"/>
          <w:szCs w:val="32"/>
          <w:lang w:val="en-US" w:eastAsia="zh-CN"/>
        </w:rPr>
        <w:t>100.35</w:t>
      </w:r>
      <w:r>
        <w:rPr>
          <w:rFonts w:hint="eastAsia" w:ascii="仿宋_GB2312" w:hAnsi="华文仿宋" w:eastAsia="仿宋_GB2312"/>
          <w:sz w:val="32"/>
          <w:szCs w:val="32"/>
        </w:rPr>
        <w:t>万元</w:t>
      </w:r>
      <w:r>
        <w:rPr>
          <w:rFonts w:hint="eastAsia" w:ascii="仿宋_GB2312" w:hAnsi="华文仿宋" w:eastAsia="仿宋_GB2312"/>
          <w:sz w:val="32"/>
          <w:szCs w:val="32"/>
          <w:lang w:eastAsia="zh-CN"/>
        </w:rPr>
        <w:t>。</w:t>
      </w:r>
    </w:p>
    <w:p>
      <w:pPr>
        <w:tabs>
          <w:tab w:val="center" w:pos="4475"/>
        </w:tabs>
        <w:spacing w:line="560" w:lineRule="exact"/>
        <w:ind w:firstLine="643" w:firstLineChars="200"/>
        <w:rPr>
          <w:rFonts w:hint="eastAsia" w:ascii="黑体" w:hAnsi="黑体" w:eastAsia="黑体" w:cs="黑体"/>
          <w:b/>
          <w:bCs/>
          <w:color w:val="000000"/>
          <w:kern w:val="0"/>
          <w:sz w:val="32"/>
          <w:szCs w:val="32"/>
        </w:rPr>
      </w:pPr>
      <w:r>
        <w:rPr>
          <w:rFonts w:hint="eastAsia" w:ascii="黑体" w:hAnsi="黑体" w:eastAsia="黑体" w:cs="黑体"/>
          <w:b/>
          <w:bCs/>
          <w:color w:val="000000"/>
          <w:kern w:val="0"/>
          <w:sz w:val="32"/>
          <w:szCs w:val="32"/>
        </w:rPr>
        <w:t>十一、政府购买服务预算情况说明</w:t>
      </w:r>
    </w:p>
    <w:p>
      <w:pPr>
        <w:ind w:firstLine="640" w:firstLineChars="200"/>
        <w:rPr>
          <w:rFonts w:hint="eastAsia" w:ascii="仿宋_GB2312" w:hAnsi="华文仿宋" w:eastAsia="仿宋_GB2312" w:cs="宋体"/>
          <w:bCs/>
          <w:color w:val="000000"/>
          <w:kern w:val="0"/>
          <w:sz w:val="32"/>
          <w:szCs w:val="32"/>
          <w:highlight w:val="none"/>
        </w:rPr>
      </w:pPr>
      <w:r>
        <w:rPr>
          <w:rFonts w:hint="eastAsia" w:ascii="仿宋_GB2312" w:hAnsi="华文仿宋" w:eastAsia="仿宋_GB2312"/>
          <w:sz w:val="32"/>
          <w:szCs w:val="32"/>
          <w:highlight w:val="none"/>
        </w:rPr>
        <w:t>2021年本单位无政府购买服务预算</w:t>
      </w:r>
    </w:p>
    <w:p>
      <w:pPr>
        <w:pStyle w:val="4"/>
        <w:spacing w:before="0" w:beforeAutospacing="0" w:after="0" w:afterAutospacing="0" w:line="560" w:lineRule="exact"/>
        <w:ind w:firstLine="643" w:firstLineChars="200"/>
        <w:jc w:val="both"/>
        <w:rPr>
          <w:rFonts w:hint="eastAsia" w:ascii="黑体" w:hAnsi="黑体" w:eastAsia="黑体" w:cs="黑体"/>
          <w:b/>
          <w:bCs/>
          <w:color w:val="000000"/>
          <w:sz w:val="32"/>
          <w:szCs w:val="32"/>
        </w:rPr>
      </w:pPr>
      <w:r>
        <w:rPr>
          <w:rFonts w:hint="eastAsia" w:ascii="黑体" w:hAnsi="黑体" w:eastAsia="黑体" w:cs="黑体"/>
          <w:b/>
          <w:bCs/>
          <w:color w:val="000000"/>
          <w:sz w:val="32"/>
          <w:szCs w:val="32"/>
        </w:rPr>
        <w:t>十二、2021年单位预算其他</w:t>
      </w:r>
      <w:r>
        <w:rPr>
          <w:rFonts w:hint="eastAsia" w:ascii="黑体" w:hAnsi="黑体" w:eastAsia="黑体" w:cs="黑体"/>
          <w:b/>
          <w:bCs/>
          <w:strike/>
          <w:color w:val="000000"/>
          <w:sz w:val="32"/>
          <w:szCs w:val="32"/>
        </w:rPr>
        <w:t>重要</w:t>
      </w:r>
      <w:r>
        <w:rPr>
          <w:rFonts w:hint="eastAsia" w:ascii="黑体" w:hAnsi="黑体" w:eastAsia="黑体" w:cs="黑体"/>
          <w:b/>
          <w:bCs/>
          <w:color w:val="000000"/>
          <w:sz w:val="32"/>
          <w:szCs w:val="32"/>
        </w:rPr>
        <w:t>事项情况说明</w:t>
      </w:r>
    </w:p>
    <w:p>
      <w:pPr>
        <w:tabs>
          <w:tab w:val="center" w:pos="4475"/>
        </w:tabs>
        <w:spacing w:line="560" w:lineRule="exact"/>
        <w:ind w:firstLine="645"/>
        <w:rPr>
          <w:rFonts w:hint="eastAsia" w:ascii="仿宋_GB2312" w:hAnsi="华文仿宋" w:eastAsia="仿宋_GB2312"/>
          <w:sz w:val="32"/>
          <w:szCs w:val="32"/>
          <w:highlight w:val="cyan"/>
        </w:rPr>
      </w:pPr>
      <w:r>
        <w:rPr>
          <w:rFonts w:hint="eastAsia" w:ascii="楷体_GB2312" w:hAnsi="华文仿宋" w:eastAsia="楷体_GB2312"/>
          <w:b/>
          <w:color w:val="000000"/>
          <w:sz w:val="32"/>
          <w:szCs w:val="32"/>
        </w:rPr>
        <w:t>（一）机关运行经费安排情况说明</w:t>
      </w:r>
    </w:p>
    <w:p>
      <w:pPr>
        <w:adjustRightInd w:val="0"/>
        <w:snapToGrid w:val="0"/>
        <w:spacing w:line="560" w:lineRule="exact"/>
        <w:ind w:right="-218" w:rightChars="-104" w:firstLine="640" w:firstLineChars="200"/>
        <w:rPr>
          <w:rFonts w:hint="eastAsia" w:ascii="仿宋_GB2312" w:hAnsi="华文仿宋" w:eastAsia="仿宋_GB2312" w:cs="宋体"/>
          <w:bCs/>
          <w:color w:val="000000"/>
          <w:kern w:val="0"/>
          <w:sz w:val="32"/>
          <w:szCs w:val="32"/>
          <w:lang w:eastAsia="zh-CN"/>
        </w:rPr>
      </w:pPr>
      <w:r>
        <w:rPr>
          <w:rFonts w:hint="eastAsia" w:ascii="仿宋_GB2312" w:hAnsi="华文仿宋" w:eastAsia="仿宋_GB2312" w:cs="宋体"/>
          <w:bCs/>
          <w:color w:val="000000"/>
          <w:kern w:val="0"/>
          <w:sz w:val="32"/>
          <w:szCs w:val="32"/>
        </w:rPr>
        <w:t>2021年行政运行预算</w:t>
      </w:r>
      <w:r>
        <w:rPr>
          <w:rFonts w:hint="eastAsia" w:ascii="仿宋_GB2312" w:hAnsi="华文仿宋" w:eastAsia="仿宋_GB2312" w:cs="宋体"/>
          <w:bCs/>
          <w:color w:val="000000"/>
          <w:kern w:val="0"/>
          <w:sz w:val="32"/>
          <w:szCs w:val="32"/>
          <w:lang w:val="en-US" w:eastAsia="zh-CN"/>
        </w:rPr>
        <w:t>191.65</w:t>
      </w:r>
      <w:r>
        <w:rPr>
          <w:rFonts w:hint="eastAsia" w:ascii="仿宋_GB2312" w:hAnsi="华文仿宋" w:eastAsia="仿宋_GB2312" w:cs="宋体"/>
          <w:bCs/>
          <w:color w:val="000000"/>
          <w:kern w:val="0"/>
          <w:sz w:val="32"/>
          <w:szCs w:val="32"/>
        </w:rPr>
        <w:t>万元，同比增加</w:t>
      </w:r>
      <w:r>
        <w:rPr>
          <w:rFonts w:hint="eastAsia" w:ascii="仿宋_GB2312" w:hAnsi="华文仿宋" w:eastAsia="仿宋_GB2312" w:cs="宋体"/>
          <w:bCs/>
          <w:color w:val="000000"/>
          <w:kern w:val="0"/>
          <w:sz w:val="32"/>
          <w:szCs w:val="32"/>
          <w:lang w:val="en-US" w:eastAsia="zh-CN"/>
        </w:rPr>
        <w:t>191.65</w:t>
      </w:r>
      <w:r>
        <w:rPr>
          <w:rFonts w:hint="eastAsia" w:ascii="仿宋_GB2312" w:hAnsi="华文仿宋" w:eastAsia="仿宋_GB2312" w:cs="宋体"/>
          <w:bCs/>
          <w:color w:val="000000"/>
          <w:kern w:val="0"/>
          <w:sz w:val="32"/>
          <w:szCs w:val="32"/>
        </w:rPr>
        <w:t>万元，同比增长</w:t>
      </w:r>
      <w:r>
        <w:rPr>
          <w:rFonts w:hint="eastAsia" w:ascii="仿宋_GB2312" w:hAnsi="华文仿宋" w:eastAsia="仿宋_GB2312" w:cs="宋体"/>
          <w:bCs/>
          <w:color w:val="000000"/>
          <w:kern w:val="0"/>
          <w:sz w:val="32"/>
          <w:szCs w:val="32"/>
          <w:lang w:val="en-US" w:eastAsia="zh-CN"/>
        </w:rPr>
        <w:t>100</w:t>
      </w:r>
      <w:r>
        <w:rPr>
          <w:rFonts w:hint="eastAsia" w:ascii="仿宋_GB2312" w:hAnsi="华文仿宋" w:eastAsia="仿宋_GB2312" w:cs="宋体"/>
          <w:bCs/>
          <w:color w:val="000000"/>
          <w:kern w:val="0"/>
          <w:sz w:val="32"/>
          <w:szCs w:val="32"/>
        </w:rPr>
        <w:t>%，主要用于</w:t>
      </w:r>
      <w:r>
        <w:rPr>
          <w:rFonts w:hint="eastAsia" w:ascii="仿宋_GB2312" w:hAnsi="华文仿宋" w:eastAsia="仿宋_GB2312"/>
          <w:sz w:val="32"/>
          <w:szCs w:val="32"/>
          <w:lang w:eastAsia="zh-CN"/>
        </w:rPr>
        <w:t>办公费、印刷费、水费、电费、邮电费、物业管理费、差旅费、维修（护）费、会议费、培训费、公务接待费、工会经费、其他交通费用、其他商品和服务支出</w:t>
      </w:r>
      <w:r>
        <w:rPr>
          <w:rFonts w:hint="eastAsia" w:ascii="仿宋_GB2312" w:hAnsi="华文仿宋" w:eastAsia="仿宋_GB2312"/>
          <w:sz w:val="32"/>
          <w:szCs w:val="32"/>
        </w:rPr>
        <w:t>。</w:t>
      </w:r>
    </w:p>
    <w:p>
      <w:pPr>
        <w:pStyle w:val="4"/>
        <w:spacing w:before="0" w:beforeAutospacing="0" w:after="0" w:afterAutospacing="0" w:line="560" w:lineRule="exact"/>
        <w:ind w:firstLine="643" w:firstLineChars="200"/>
        <w:jc w:val="both"/>
        <w:rPr>
          <w:rFonts w:hint="eastAsia" w:ascii="楷体_GB2312" w:hAnsi="华文仿宋" w:eastAsia="楷体_GB2312"/>
          <w:b/>
          <w:color w:val="000000"/>
          <w:sz w:val="32"/>
          <w:szCs w:val="32"/>
        </w:rPr>
      </w:pPr>
      <w:r>
        <w:rPr>
          <w:rFonts w:hint="eastAsia" w:ascii="楷体_GB2312" w:hAnsi="华文仿宋" w:eastAsia="楷体_GB2312"/>
          <w:b/>
          <w:color w:val="000000"/>
          <w:sz w:val="32"/>
          <w:szCs w:val="32"/>
        </w:rPr>
        <w:t>（二）国有资产占用情况说明</w:t>
      </w:r>
    </w:p>
    <w:p>
      <w:pPr>
        <w:spacing w:line="560" w:lineRule="exact"/>
        <w:ind w:firstLine="640" w:firstLineChars="200"/>
        <w:rPr>
          <w:rFonts w:hint="eastAsia" w:ascii="仿宋_GB2312" w:hAnsi="华文仿宋" w:eastAsia="仿宋_GB2312" w:cs="宋体"/>
          <w:bCs/>
          <w:color w:val="000000"/>
          <w:kern w:val="0"/>
          <w:sz w:val="32"/>
          <w:szCs w:val="32"/>
        </w:rPr>
      </w:pPr>
      <w:r>
        <w:rPr>
          <w:rFonts w:hint="eastAsia" w:ascii="仿宋_GB2312" w:hAnsi="华文仿宋" w:eastAsia="仿宋_GB2312" w:cs="宋体"/>
          <w:bCs/>
          <w:color w:val="000000"/>
          <w:kern w:val="0"/>
          <w:sz w:val="32"/>
          <w:szCs w:val="32"/>
        </w:rPr>
        <w:t>2021年本单位无实有在编车辆，原因是</w:t>
      </w:r>
      <w:r>
        <w:rPr>
          <w:rFonts w:hint="eastAsia" w:ascii="仿宋_GB2312" w:hAnsi="仿宋_GB2312" w:eastAsia="仿宋_GB2312"/>
          <w:sz w:val="32"/>
          <w:szCs w:val="22"/>
        </w:rPr>
        <w:t>根据柳州市机关事务管理局《关于申请将基层法院的公车编制划转至市中级人民法院的复函》，从2020年起，柳州县区基层法院的公车编制全部划转至柳州市中级人民法院管理</w:t>
      </w:r>
      <w:r>
        <w:rPr>
          <w:rFonts w:hint="eastAsia" w:ascii="仿宋_GB2312" w:hAnsi="华文仿宋" w:eastAsia="仿宋_GB2312" w:cs="宋体"/>
          <w:bCs/>
          <w:color w:val="000000"/>
          <w:kern w:val="0"/>
          <w:sz w:val="32"/>
          <w:szCs w:val="32"/>
        </w:rPr>
        <w:t>。</w:t>
      </w:r>
    </w:p>
    <w:p>
      <w:pPr>
        <w:tabs>
          <w:tab w:val="center" w:pos="4475"/>
        </w:tabs>
        <w:spacing w:line="560" w:lineRule="exact"/>
        <w:ind w:firstLine="645"/>
        <w:rPr>
          <w:rFonts w:hint="eastAsia" w:ascii="楷体_GB2312" w:hAnsi="华文仿宋" w:eastAsia="楷体_GB2312"/>
          <w:b/>
          <w:color w:val="000000"/>
          <w:sz w:val="32"/>
          <w:szCs w:val="32"/>
        </w:rPr>
      </w:pPr>
      <w:r>
        <w:rPr>
          <w:rFonts w:hint="eastAsia" w:ascii="楷体_GB2312" w:hAnsi="华文仿宋" w:eastAsia="楷体_GB2312"/>
          <w:b/>
          <w:color w:val="000000"/>
          <w:sz w:val="32"/>
          <w:szCs w:val="32"/>
        </w:rPr>
        <w:t>（三）200万元以上项目预算绩效情况说明</w:t>
      </w:r>
    </w:p>
    <w:p>
      <w:pPr>
        <w:spacing w:line="560" w:lineRule="exact"/>
        <w:ind w:firstLine="640" w:firstLineChars="200"/>
        <w:rPr>
          <w:rFonts w:hint="eastAsia" w:ascii="仿宋_GB2312" w:hAnsi="华文仿宋" w:eastAsia="仿宋_GB2312"/>
          <w:sz w:val="32"/>
          <w:szCs w:val="32"/>
          <w:lang w:eastAsia="zh-CN"/>
        </w:rPr>
      </w:pPr>
      <w:r>
        <w:rPr>
          <w:rFonts w:hint="eastAsia" w:ascii="仿宋_GB2312" w:hAnsi="华文仿宋" w:eastAsia="仿宋_GB2312" w:cs="宋体"/>
          <w:bCs/>
          <w:color w:val="000000"/>
          <w:kern w:val="0"/>
          <w:sz w:val="32"/>
          <w:szCs w:val="32"/>
        </w:rPr>
        <w:t>2021年单位预算有</w:t>
      </w:r>
      <w:r>
        <w:rPr>
          <w:rFonts w:hint="eastAsia" w:ascii="仿宋_GB2312" w:hAnsi="华文仿宋" w:eastAsia="仿宋_GB2312" w:cs="宋体"/>
          <w:bCs/>
          <w:color w:val="000000"/>
          <w:kern w:val="0"/>
          <w:sz w:val="32"/>
          <w:szCs w:val="32"/>
          <w:lang w:val="en-US" w:eastAsia="zh-CN"/>
        </w:rPr>
        <w:t>1</w:t>
      </w:r>
      <w:r>
        <w:rPr>
          <w:rFonts w:hint="eastAsia" w:ascii="仿宋_GB2312" w:hAnsi="华文仿宋" w:eastAsia="仿宋_GB2312" w:cs="宋体"/>
          <w:bCs/>
          <w:color w:val="000000"/>
          <w:kern w:val="0"/>
          <w:sz w:val="32"/>
          <w:szCs w:val="32"/>
        </w:rPr>
        <w:t>个200万元以上的项目列入绩效考核范围，涉及一般公共预算拨款支出</w:t>
      </w:r>
      <w:r>
        <w:rPr>
          <w:rFonts w:hint="eastAsia" w:ascii="仿宋_GB2312" w:hAnsi="华文仿宋" w:eastAsia="仿宋_GB2312" w:cs="宋体"/>
          <w:bCs/>
          <w:color w:val="000000"/>
          <w:kern w:val="0"/>
          <w:sz w:val="32"/>
          <w:szCs w:val="32"/>
          <w:lang w:val="en-US" w:eastAsia="zh-CN"/>
        </w:rPr>
        <w:t>209</w:t>
      </w:r>
      <w:r>
        <w:rPr>
          <w:rFonts w:hint="eastAsia" w:ascii="仿宋_GB2312" w:hAnsi="华文仿宋" w:eastAsia="仿宋_GB2312" w:cs="宋体"/>
          <w:bCs/>
          <w:color w:val="000000"/>
          <w:kern w:val="0"/>
          <w:sz w:val="32"/>
          <w:szCs w:val="32"/>
        </w:rPr>
        <w:t>万元。</w:t>
      </w:r>
      <w:r>
        <w:rPr>
          <w:rFonts w:hint="eastAsia" w:ascii="仿宋_GB2312" w:hAnsi="华文仿宋" w:eastAsia="仿宋_GB2312" w:cs="宋体"/>
          <w:bCs/>
          <w:color w:val="000000"/>
          <w:kern w:val="0"/>
          <w:sz w:val="32"/>
          <w:szCs w:val="32"/>
          <w:lang w:eastAsia="zh-CN"/>
        </w:rPr>
        <w:t>此项目为聘用人员经费支出。</w:t>
      </w:r>
    </w:p>
    <w:p>
      <w:pPr>
        <w:pStyle w:val="4"/>
        <w:spacing w:before="0" w:beforeAutospacing="0" w:after="0" w:afterAutospacing="0" w:line="560" w:lineRule="exact"/>
        <w:jc w:val="center"/>
        <w:rPr>
          <w:rFonts w:hint="eastAsia" w:ascii="仿宋_GB2312" w:hAnsi="华文仿宋" w:eastAsia="仿宋_GB2312"/>
          <w:b/>
          <w:bCs/>
          <w:color w:val="000000"/>
          <w:sz w:val="32"/>
          <w:szCs w:val="32"/>
        </w:rPr>
      </w:pPr>
    </w:p>
    <w:p>
      <w:pPr>
        <w:adjustRightInd w:val="0"/>
        <w:snapToGrid w:val="0"/>
        <w:spacing w:line="560" w:lineRule="exact"/>
        <w:ind w:right="-218" w:rightChars="-104"/>
        <w:jc w:val="center"/>
        <w:rPr>
          <w:rStyle w:val="7"/>
          <w:rFonts w:hint="eastAsia" w:ascii="仿宋_GB2312" w:hAnsi="华文仿宋" w:eastAsia="仿宋_GB2312"/>
          <w:color w:val="000000"/>
          <w:sz w:val="32"/>
          <w:szCs w:val="32"/>
          <w:highlight w:val="yellow"/>
        </w:rPr>
      </w:pPr>
      <w:r>
        <w:rPr>
          <w:rStyle w:val="7"/>
          <w:rFonts w:hint="eastAsia" w:ascii="仿宋_GB2312" w:hAnsi="华文仿宋" w:eastAsia="仿宋_GB2312"/>
          <w:color w:val="000000"/>
          <w:sz w:val="32"/>
          <w:szCs w:val="32"/>
          <w:highlight w:val="none"/>
        </w:rPr>
        <w:t>第四部分：名词解释</w:t>
      </w:r>
    </w:p>
    <w:p>
      <w:pPr>
        <w:spacing w:line="560" w:lineRule="exact"/>
        <w:ind w:firstLine="643" w:firstLineChars="200"/>
        <w:rPr>
          <w:rFonts w:hint="eastAsia" w:ascii="仿宋_GB2312" w:hAnsi="华文仿宋" w:eastAsia="仿宋_GB2312" w:cs="宋体"/>
          <w:bCs/>
          <w:color w:val="000000"/>
          <w:kern w:val="0"/>
          <w:sz w:val="32"/>
          <w:szCs w:val="32"/>
        </w:rPr>
      </w:pPr>
      <w:r>
        <w:rPr>
          <w:rFonts w:hint="eastAsia" w:ascii="黑体" w:hAnsi="黑体" w:eastAsia="黑体" w:cs="黑体"/>
          <w:b/>
          <w:bCs/>
          <w:color w:val="000000"/>
          <w:kern w:val="0"/>
          <w:sz w:val="32"/>
          <w:szCs w:val="32"/>
        </w:rPr>
        <w:t>一、财政拨款收入</w:t>
      </w:r>
      <w:r>
        <w:rPr>
          <w:rFonts w:hint="eastAsia" w:ascii="仿宋_GB2312" w:hAnsi="华文仿宋" w:eastAsia="仿宋_GB2312" w:cs="宋体"/>
          <w:bCs/>
          <w:color w:val="000000"/>
          <w:kern w:val="0"/>
          <w:sz w:val="32"/>
          <w:szCs w:val="32"/>
        </w:rPr>
        <w:t xml:space="preserve">：指市本级财政部门当年拨付的资金。 </w:t>
      </w:r>
    </w:p>
    <w:p>
      <w:pPr>
        <w:spacing w:line="560" w:lineRule="exact"/>
        <w:ind w:firstLine="643" w:firstLineChars="200"/>
        <w:rPr>
          <w:rFonts w:hint="eastAsia" w:ascii="仿宋_GB2312" w:hAnsi="华文仿宋" w:eastAsia="仿宋_GB2312" w:cs="宋体"/>
          <w:bCs/>
          <w:color w:val="000000"/>
          <w:kern w:val="0"/>
          <w:sz w:val="32"/>
          <w:szCs w:val="32"/>
        </w:rPr>
      </w:pPr>
      <w:r>
        <w:rPr>
          <w:rFonts w:hint="eastAsia" w:ascii="黑体" w:hAnsi="黑体" w:eastAsia="黑体" w:cs="黑体"/>
          <w:b/>
          <w:bCs/>
          <w:color w:val="000000"/>
          <w:kern w:val="0"/>
          <w:sz w:val="32"/>
          <w:szCs w:val="32"/>
        </w:rPr>
        <w:t>二、基本支出</w:t>
      </w:r>
      <w:r>
        <w:rPr>
          <w:rFonts w:hint="eastAsia" w:ascii="仿宋_GB2312" w:hAnsi="华文仿宋" w:eastAsia="仿宋_GB2312" w:cs="宋体"/>
          <w:bCs/>
          <w:color w:val="000000"/>
          <w:kern w:val="0"/>
          <w:sz w:val="32"/>
          <w:szCs w:val="32"/>
        </w:rPr>
        <w:t>：指为保障机构正常运转、完成日常工作任务而发生的人员支出和公用支出。</w:t>
      </w:r>
    </w:p>
    <w:p>
      <w:pPr>
        <w:spacing w:line="560" w:lineRule="exact"/>
        <w:ind w:firstLine="643" w:firstLineChars="200"/>
        <w:rPr>
          <w:rFonts w:hint="eastAsia" w:ascii="黑体" w:hAnsi="黑体" w:eastAsia="黑体" w:cs="黑体"/>
          <w:b/>
          <w:bCs/>
          <w:color w:val="000000"/>
          <w:kern w:val="0"/>
          <w:sz w:val="32"/>
          <w:szCs w:val="32"/>
          <w:lang w:eastAsia="zh-CN"/>
        </w:rPr>
      </w:pPr>
      <w:r>
        <w:rPr>
          <w:rFonts w:hint="eastAsia" w:ascii="黑体" w:hAnsi="黑体" w:eastAsia="黑体" w:cs="黑体"/>
          <w:b/>
          <w:bCs/>
          <w:color w:val="000000"/>
          <w:kern w:val="0"/>
          <w:sz w:val="32"/>
          <w:szCs w:val="32"/>
          <w:lang w:eastAsia="zh-CN"/>
        </w:rPr>
        <w:t>三、</w:t>
      </w:r>
      <w:r>
        <w:rPr>
          <w:rFonts w:hint="eastAsia" w:ascii="黑体" w:hAnsi="黑体" w:eastAsia="黑体" w:cs="黑体"/>
          <w:b/>
          <w:bCs/>
          <w:color w:val="000000"/>
          <w:kern w:val="0"/>
          <w:sz w:val="32"/>
          <w:szCs w:val="32"/>
        </w:rPr>
        <w:t>项目支出</w:t>
      </w:r>
      <w:r>
        <w:rPr>
          <w:rFonts w:hint="eastAsia" w:ascii="仿宋_GB2312" w:hAnsi="华文仿宋" w:eastAsia="仿宋_GB2312" w:cs="宋体"/>
          <w:bCs/>
          <w:color w:val="000000"/>
          <w:kern w:val="0"/>
          <w:sz w:val="32"/>
          <w:szCs w:val="32"/>
        </w:rPr>
        <w:t>：指在基本支出之外为完成特定行政任务和事业发展目标所发生的支出。</w:t>
      </w:r>
    </w:p>
    <w:p>
      <w:pPr>
        <w:spacing w:line="560" w:lineRule="exact"/>
        <w:ind w:firstLine="643" w:firstLineChars="200"/>
        <w:rPr>
          <w:rFonts w:hint="eastAsia" w:ascii="仿宋_GB2312" w:hAnsi="华文仿宋" w:eastAsia="仿宋_GB2312" w:cs="宋体"/>
          <w:bCs/>
          <w:color w:val="000000"/>
          <w:kern w:val="0"/>
          <w:sz w:val="32"/>
          <w:szCs w:val="32"/>
        </w:rPr>
      </w:pPr>
      <w:r>
        <w:rPr>
          <w:rFonts w:hint="eastAsia" w:ascii="黑体" w:hAnsi="黑体" w:eastAsia="黑体" w:cs="黑体"/>
          <w:b/>
          <w:bCs/>
          <w:color w:val="000000"/>
          <w:kern w:val="0"/>
          <w:sz w:val="32"/>
          <w:szCs w:val="32"/>
        </w:rPr>
        <w:t>四、“三公”经费</w:t>
      </w:r>
      <w:r>
        <w:rPr>
          <w:rFonts w:hint="eastAsia" w:ascii="仿宋_GB2312" w:hAnsi="华文仿宋" w:eastAsia="仿宋_GB2312" w:cs="宋体"/>
          <w:bCs/>
          <w:color w:val="000000"/>
          <w:kern w:val="0"/>
          <w:sz w:val="32"/>
          <w:szCs w:val="32"/>
        </w:rPr>
        <w:t>：纳入市财政预决算管理的“三公”经费，是</w:t>
      </w:r>
      <w:r>
        <w:rPr>
          <w:rFonts w:hint="eastAsia" w:ascii="仿宋_GB2312" w:hAnsi="仿宋_GB2312" w:eastAsia="仿宋_GB2312" w:cs="仿宋_GB2312"/>
          <w:bCs/>
          <w:color w:val="000000"/>
          <w:kern w:val="0"/>
          <w:sz w:val="32"/>
          <w:szCs w:val="32"/>
        </w:rPr>
        <w:t>指市</w:t>
      </w:r>
      <w:r>
        <w:rPr>
          <w:rFonts w:hint="eastAsia" w:ascii="仿宋_GB2312" w:hAnsi="仿宋_GB2312" w:eastAsia="仿宋_GB2312" w:cs="仿宋_GB2312"/>
          <w:sz w:val="32"/>
          <w:szCs w:val="32"/>
        </w:rPr>
        <w:t>本级各部门用财政拨款安排的因公出国（境）费、公务用车购置及运行费和公务接待费。</w:t>
      </w:r>
      <w:r>
        <w:rPr>
          <w:rFonts w:hint="eastAsia" w:ascii="仿宋_GB2312" w:hAnsi="华文仿宋" w:eastAsia="仿宋_GB2312" w:cs="宋体"/>
          <w:bCs/>
          <w:color w:val="000000"/>
          <w:kern w:val="0"/>
          <w:sz w:val="32"/>
          <w:szCs w:val="32"/>
        </w:rPr>
        <w:t>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spacing w:line="560" w:lineRule="exact"/>
        <w:ind w:firstLine="643" w:firstLineChars="200"/>
      </w:pPr>
      <w:r>
        <w:rPr>
          <w:rFonts w:hint="eastAsia" w:ascii="黑体" w:hAnsi="黑体" w:eastAsia="黑体" w:cs="黑体"/>
          <w:b/>
          <w:bCs/>
          <w:color w:val="000000"/>
          <w:kern w:val="0"/>
          <w:sz w:val="32"/>
          <w:szCs w:val="32"/>
        </w:rPr>
        <w:t>五</w:t>
      </w:r>
      <w:r>
        <w:rPr>
          <w:rFonts w:hint="eastAsia" w:ascii="黑体" w:hAnsi="黑体" w:eastAsia="黑体" w:cs="黑体"/>
          <w:b/>
          <w:bCs/>
          <w:color w:val="000000"/>
          <w:kern w:val="0"/>
          <w:sz w:val="32"/>
          <w:szCs w:val="32"/>
          <w:lang w:eastAsia="zh-CN"/>
        </w:rPr>
        <w:t>、</w:t>
      </w:r>
      <w:r>
        <w:rPr>
          <w:rFonts w:hint="eastAsia" w:ascii="黑体" w:hAnsi="黑体" w:eastAsia="黑体" w:cs="黑体"/>
          <w:b/>
          <w:bCs/>
          <w:color w:val="000000"/>
          <w:kern w:val="0"/>
          <w:sz w:val="32"/>
          <w:szCs w:val="32"/>
        </w:rPr>
        <w:t>机关运行经费</w:t>
      </w:r>
      <w:r>
        <w:rPr>
          <w:rFonts w:hint="eastAsia" w:ascii="仿宋_GB2312" w:hAnsi="华文仿宋" w:eastAsia="仿宋_GB2312" w:cs="宋体"/>
          <w:bCs/>
          <w:color w:val="000000"/>
          <w:kern w:val="0"/>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4</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623387"/>
    <w:multiLevelType w:val="singleLevel"/>
    <w:tmpl w:val="A5623387"/>
    <w:lvl w:ilvl="0" w:tentative="0">
      <w:start w:val="1"/>
      <w:numFmt w:val="chineseCounting"/>
      <w:suff w:val="nothing"/>
      <w:lvlText w:val="（%1）"/>
      <w:lvlJc w:val="left"/>
      <w:rPr>
        <w:rFonts w:hint="eastAsia"/>
      </w:rPr>
    </w:lvl>
  </w:abstractNum>
  <w:abstractNum w:abstractNumId="1">
    <w:nsid w:val="E8F683FD"/>
    <w:multiLevelType w:val="singleLevel"/>
    <w:tmpl w:val="E8F683FD"/>
    <w:lvl w:ilvl="0" w:tentative="0">
      <w:start w:val="1"/>
      <w:numFmt w:val="chineseCounting"/>
      <w:suff w:val="nothing"/>
      <w:lvlText w:val="（%1）"/>
      <w:lvlJc w:val="left"/>
      <w:pPr>
        <w:ind w:left="-10"/>
      </w:pPr>
      <w:rPr>
        <w:rFonts w:hint="eastAsia"/>
      </w:rPr>
    </w:lvl>
  </w:abstractNum>
  <w:abstractNum w:abstractNumId="2">
    <w:nsid w:val="F0F61754"/>
    <w:multiLevelType w:val="singleLevel"/>
    <w:tmpl w:val="F0F61754"/>
    <w:lvl w:ilvl="0" w:tentative="0">
      <w:start w:val="1"/>
      <w:numFmt w:val="chineseCounting"/>
      <w:suff w:val="nothing"/>
      <w:lvlText w:val="（%1）"/>
      <w:lvlJc w:val="left"/>
      <w:pPr>
        <w:ind w:left="-1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yY2Y5Y2UxZjkwY2NiYzg1MTM4ZmQzOTFhYWJhY2IifQ=="/>
  </w:docVars>
  <w:rsids>
    <w:rsidRoot w:val="2274501F"/>
    <w:rsid w:val="069F0405"/>
    <w:rsid w:val="071A18DD"/>
    <w:rsid w:val="07675527"/>
    <w:rsid w:val="079B164D"/>
    <w:rsid w:val="09610FF8"/>
    <w:rsid w:val="0A026B6F"/>
    <w:rsid w:val="158C27AB"/>
    <w:rsid w:val="1CC8422A"/>
    <w:rsid w:val="2274501F"/>
    <w:rsid w:val="25011105"/>
    <w:rsid w:val="29F94BAE"/>
    <w:rsid w:val="341D7C68"/>
    <w:rsid w:val="3E313932"/>
    <w:rsid w:val="44126DA5"/>
    <w:rsid w:val="463A05BB"/>
    <w:rsid w:val="47335E16"/>
    <w:rsid w:val="4D6611F4"/>
    <w:rsid w:val="4EC06FBF"/>
    <w:rsid w:val="51D81A55"/>
    <w:rsid w:val="55413C36"/>
    <w:rsid w:val="56B55F91"/>
    <w:rsid w:val="5D9A5911"/>
    <w:rsid w:val="60053741"/>
    <w:rsid w:val="60566FAD"/>
    <w:rsid w:val="6A9F2057"/>
    <w:rsid w:val="77E14030"/>
    <w:rsid w:val="7AAD1115"/>
    <w:rsid w:val="7ABE68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cs="Times New Roman"/>
      <w:szCs w:val="21"/>
      <w:lang w:val="zh-CN" w:eastAsia="zh-CN"/>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7">
    <w:name w:val="Strong"/>
    <w:qFormat/>
    <w:uiPriority w:val="0"/>
    <w:rPr>
      <w:b/>
      <w:bCs/>
    </w:rPr>
  </w:style>
  <w:style w:type="character" w:styleId="8">
    <w:name w:val="page number"/>
    <w:basedOn w:val="6"/>
    <w:qFormat/>
    <w:uiPriority w:val="0"/>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2021-04-25T07:32:00Z</dcterms:created>
  <dc:creator>胡惠婷</dc:creator>
  <cp:lastModifiedBy>chenchen</cp:lastModifiedBy>
  <cp:lastPrinted>2021-04-26T08:05:00Z</cp:lastPrinted>
  <dcterms:modified xsi:type="dcterms:W3CDTF">2022-09-04T03:14:01Z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672AB521438F4D9E938ACA3CCAE130D6</vt:lpwstr>
  </property>
</Properties>
</file>