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jc w:val="center"/>
        <w:rPr>
          <w:rStyle w:val="5"/>
          <w:rFonts w:ascii="方正小标宋简体" w:hAnsi="方正小标宋简体" w:eastAsia="方正小标宋简体" w:cs="方正小标宋简体"/>
          <w:b/>
          <w:i w:val="0"/>
          <w:caps w:val="0"/>
          <w:color w:val="000000"/>
          <w:spacing w:val="0"/>
          <w:sz w:val="43"/>
          <w:szCs w:val="43"/>
          <w:shd w:val="clear" w:color="auto" w:fill="auto"/>
        </w:rPr>
      </w:pPr>
      <w:r>
        <w:rPr>
          <w:rFonts w:hint="eastAsia" w:ascii="方正小标宋简体" w:hAnsi="华文仿宋" w:eastAsia="方正小标宋简体"/>
          <w:sz w:val="44"/>
          <w:szCs w:val="44"/>
          <w:lang w:eastAsia="zh-CN"/>
        </w:rPr>
        <w:t>柳州市鱼峰区人民</w:t>
      </w:r>
      <w:r>
        <w:rPr>
          <w:rFonts w:hint="eastAsia" w:ascii="方正小标宋简体" w:hAnsi="华文仿宋" w:eastAsia="方正小标宋简体"/>
          <w:sz w:val="44"/>
          <w:szCs w:val="44"/>
        </w:rPr>
        <w:t>法院2021年预算公开说明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jc w:val="center"/>
        <w:rPr>
          <w:rFonts w:ascii="微软雅黑" w:hAnsi="微软雅黑" w:eastAsia="微软雅黑" w:cs="微软雅黑"/>
          <w:b w:val="0"/>
          <w:i w:val="0"/>
          <w:caps w:val="0"/>
          <w:color w:val="000000"/>
          <w:spacing w:val="0"/>
          <w:sz w:val="24"/>
          <w:szCs w:val="24"/>
          <w:shd w:val="clear" w:color="auto" w:fill="auto"/>
        </w:rPr>
      </w:pPr>
      <w:r>
        <w:rPr>
          <w:rStyle w:val="5"/>
          <w:rFonts w:ascii="方正小标宋简体" w:hAnsi="方正小标宋简体" w:eastAsia="方正小标宋简体" w:cs="方正小标宋简体"/>
          <w:b/>
          <w:i w:val="0"/>
          <w:caps w:val="0"/>
          <w:color w:val="000000"/>
          <w:spacing w:val="0"/>
          <w:sz w:val="43"/>
          <w:szCs w:val="43"/>
          <w:shd w:val="clear" w:color="auto" w:fill="auto"/>
        </w:rPr>
        <w:t>目</w:t>
      </w:r>
      <w:r>
        <w:rPr>
          <w:rFonts w:hint="eastAsia" w:ascii="方正小标宋简体" w:hAnsi="方正小标宋简体" w:eastAsia="方正小标宋简体" w:cs="方正小标宋简体"/>
          <w:b/>
          <w:i w:val="0"/>
          <w:caps w:val="0"/>
          <w:color w:val="000000"/>
          <w:spacing w:val="0"/>
          <w:sz w:val="43"/>
          <w:szCs w:val="43"/>
          <w:shd w:val="clear" w:color="auto" w:fill="auto"/>
        </w:rPr>
        <w:t> </w:t>
      </w:r>
      <w:r>
        <w:rPr>
          <w:rStyle w:val="5"/>
          <w:rFonts w:hint="eastAsia" w:ascii="方正小标宋简体" w:hAnsi="方正小标宋简体" w:eastAsia="方正小标宋简体" w:cs="方正小标宋简体"/>
          <w:b/>
          <w:i w:val="0"/>
          <w:caps w:val="0"/>
          <w:color w:val="000000"/>
          <w:spacing w:val="0"/>
          <w:sz w:val="43"/>
          <w:szCs w:val="43"/>
          <w:shd w:val="clear" w:color="auto" w:fill="auto"/>
        </w:rPr>
        <w:t>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ascii="仿宋_GB2312" w:hAnsi="微软雅黑" w:eastAsia="仿宋_GB2312" w:cs="仿宋_GB2312"/>
          <w:b/>
          <w:i w:val="0"/>
          <w:caps w:val="0"/>
          <w:color w:val="000000"/>
          <w:spacing w:val="0"/>
          <w:sz w:val="31"/>
          <w:szCs w:val="31"/>
          <w:shd w:val="clear" w:color="auto" w:fill="auto"/>
        </w:rPr>
        <w:t>第一部分：</w:t>
      </w:r>
      <w:r>
        <w:rPr>
          <w:rStyle w:val="5"/>
          <w:rFonts w:hint="eastAsia" w:ascii="仿宋_GB2312" w:hAnsi="微软雅黑" w:eastAsia="仿宋_GB2312" w:cs="仿宋_GB2312"/>
          <w:b/>
          <w:i w:val="0"/>
          <w:caps w:val="0"/>
          <w:color w:val="000000"/>
          <w:spacing w:val="0"/>
          <w:sz w:val="31"/>
          <w:szCs w:val="31"/>
          <w:shd w:val="clear" w:color="auto" w:fill="auto"/>
          <w:lang w:eastAsia="zh-CN"/>
        </w:rPr>
        <w:t>柳州市鱼峰区人民法院</w:t>
      </w:r>
      <w:r>
        <w:rPr>
          <w:rStyle w:val="5"/>
          <w:rFonts w:ascii="仿宋_GB2312" w:hAnsi="微软雅黑" w:eastAsia="仿宋_GB2312" w:cs="仿宋_GB2312"/>
          <w:b/>
          <w:i w:val="0"/>
          <w:caps w:val="0"/>
          <w:color w:val="000000"/>
          <w:spacing w:val="0"/>
          <w:sz w:val="31"/>
          <w:szCs w:val="31"/>
          <w:shd w:val="clear" w:color="auto" w:fill="auto"/>
        </w:rPr>
        <w:t>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一、主要职责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二、机构设置情况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第二部分：</w:t>
      </w:r>
      <w:r>
        <w:rPr>
          <w:rStyle w:val="5"/>
          <w:rFonts w:hint="eastAsia" w:ascii="仿宋_GB2312" w:hAnsi="微软雅黑" w:eastAsia="仿宋_GB2312" w:cs="仿宋_GB2312"/>
          <w:b/>
          <w:i w:val="0"/>
          <w:caps w:val="0"/>
          <w:color w:val="000000"/>
          <w:spacing w:val="0"/>
          <w:sz w:val="31"/>
          <w:szCs w:val="31"/>
          <w:shd w:val="clear" w:color="auto" w:fill="auto"/>
          <w:lang w:eastAsia="zh-CN"/>
        </w:rPr>
        <w:t>柳州市鱼峰区人民法院</w:t>
      </w:r>
      <w:r>
        <w:rPr>
          <w:rStyle w:val="5"/>
          <w:rFonts w:hint="eastAsia" w:ascii="仿宋_GB2312" w:hAnsi="微软雅黑" w:eastAsia="仿宋_GB2312" w:cs="仿宋_GB2312"/>
          <w:b/>
          <w:i w:val="0"/>
          <w:caps w:val="0"/>
          <w:color w:val="000000"/>
          <w:spacing w:val="0"/>
          <w:sz w:val="31"/>
          <w:szCs w:val="31"/>
          <w:shd w:val="clear" w:color="auto" w:fill="auto"/>
        </w:rPr>
        <w:t>2021年部门预算报表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一、部门收支总体情况表（预算公开01表）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二、部门收入总体情况表（预算公开02表）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三、部门支出总体情况表（预算公开03表）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四、财政拨款收支总体情况表（预算公开04表）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五、一般公共预算支出情况表（预算公开05表）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六、一般公共预算基本支出情况表（预算公开06表）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七、一般公共预算“三公”经费支出情况表（预算公开07表）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八、政府性基金预算支出情况表（预算公开08表）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九、国有资本经营预算支出情况表（预算公开09表）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十、政府采购预算表（预算公开10表）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十一、政府购买服务预算表（预算公开11表）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第三部分：</w:t>
      </w:r>
      <w:r>
        <w:rPr>
          <w:rStyle w:val="5"/>
          <w:rFonts w:hint="eastAsia" w:ascii="仿宋_GB2312" w:hAnsi="微软雅黑" w:eastAsia="仿宋_GB2312" w:cs="仿宋_GB2312"/>
          <w:b/>
          <w:i w:val="0"/>
          <w:caps w:val="0"/>
          <w:color w:val="000000"/>
          <w:spacing w:val="0"/>
          <w:sz w:val="31"/>
          <w:szCs w:val="31"/>
          <w:shd w:val="clear" w:color="auto" w:fill="auto"/>
          <w:lang w:eastAsia="zh-CN"/>
        </w:rPr>
        <w:t>柳州市鱼峰区人民法院</w:t>
      </w:r>
      <w:r>
        <w:rPr>
          <w:rStyle w:val="5"/>
          <w:rFonts w:hint="eastAsia" w:ascii="仿宋_GB2312" w:hAnsi="微软雅黑" w:eastAsia="仿宋_GB2312" w:cs="仿宋_GB2312"/>
          <w:b/>
          <w:i w:val="0"/>
          <w:caps w:val="0"/>
          <w:color w:val="000000"/>
          <w:spacing w:val="0"/>
          <w:sz w:val="31"/>
          <w:szCs w:val="31"/>
          <w:shd w:val="clear" w:color="auto" w:fill="auto"/>
        </w:rPr>
        <w:t>2021年部门预算情况说明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第四部分：名词解释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rPr>
          <w:rStyle w:val="5"/>
          <w:rFonts w:hint="eastAsia" w:ascii="仿宋_GB2312" w:hAnsi="微软雅黑" w:eastAsia="仿宋_GB2312" w:cs="仿宋_GB2312"/>
          <w:b/>
          <w:i w:val="0"/>
          <w:caps w:val="0"/>
          <w:color w:val="000000"/>
          <w:spacing w:val="0"/>
          <w:sz w:val="31"/>
          <w:szCs w:val="31"/>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rPr>
          <w:rStyle w:val="5"/>
          <w:rFonts w:hint="eastAsia" w:ascii="仿宋_GB2312" w:hAnsi="微软雅黑" w:eastAsia="仿宋_GB2312" w:cs="仿宋_GB2312"/>
          <w:b/>
          <w:i w:val="0"/>
          <w:caps w:val="0"/>
          <w:color w:val="000000"/>
          <w:spacing w:val="0"/>
          <w:sz w:val="31"/>
          <w:szCs w:val="31"/>
          <w:shd w:val="clear" w:color="auto" w:fil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jc w:val="center"/>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第一部分：</w:t>
      </w:r>
      <w:r>
        <w:rPr>
          <w:rStyle w:val="5"/>
          <w:rFonts w:hint="eastAsia" w:ascii="仿宋_GB2312" w:hAnsi="微软雅黑" w:eastAsia="仿宋_GB2312" w:cs="仿宋_GB2312"/>
          <w:b/>
          <w:i w:val="0"/>
          <w:caps w:val="0"/>
          <w:color w:val="000000"/>
          <w:spacing w:val="0"/>
          <w:sz w:val="31"/>
          <w:szCs w:val="31"/>
          <w:shd w:val="clear" w:color="auto" w:fill="auto"/>
          <w:lang w:eastAsia="zh-CN"/>
        </w:rPr>
        <w:t>柳州市鱼峰区人民法院</w:t>
      </w:r>
      <w:r>
        <w:rPr>
          <w:rStyle w:val="5"/>
          <w:rFonts w:hint="eastAsia" w:ascii="仿宋_GB2312" w:hAnsi="微软雅黑" w:eastAsia="仿宋_GB2312" w:cs="仿宋_GB2312"/>
          <w:b/>
          <w:i w:val="0"/>
          <w:caps w:val="0"/>
          <w:color w:val="000000"/>
          <w:spacing w:val="0"/>
          <w:sz w:val="31"/>
          <w:szCs w:val="31"/>
          <w:shd w:val="clear" w:color="auto" w:fill="auto"/>
        </w:rPr>
        <w:t>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Style w:val="5"/>
          <w:rFonts w:ascii="黑体" w:hAnsi="宋体" w:eastAsia="黑体" w:cs="黑体"/>
          <w:b/>
          <w:i w:val="0"/>
          <w:caps w:val="0"/>
          <w:color w:val="000000"/>
          <w:spacing w:val="0"/>
          <w:sz w:val="31"/>
          <w:szCs w:val="31"/>
          <w:shd w:val="clear" w:color="auto" w:fill="auto"/>
        </w:rPr>
        <w:t>一、主要职责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right="0" w:firstLine="620" w:firstLineChars="200"/>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lang w:eastAsia="zh-CN"/>
        </w:rPr>
        <w:t>柳州市鱼峰区人民法院</w:t>
      </w:r>
      <w:r>
        <w:rPr>
          <w:rFonts w:hint="eastAsia" w:ascii="仿宋_GB2312" w:hAnsi="微软雅黑" w:eastAsia="仿宋_GB2312" w:cs="仿宋_GB2312"/>
          <w:b w:val="0"/>
          <w:i w:val="0"/>
          <w:caps w:val="0"/>
          <w:color w:val="000000"/>
          <w:spacing w:val="0"/>
          <w:sz w:val="31"/>
          <w:szCs w:val="31"/>
          <w:shd w:val="clear" w:color="auto" w:fill="auto"/>
        </w:rPr>
        <w:t>是国家审判机关，依法独立行使审判权</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hint="eastAsia" w:ascii="仿宋_GB2312" w:hAnsi="微软雅黑" w:eastAsia="仿宋_GB2312" w:cs="仿宋_GB2312"/>
          <w:b w:val="0"/>
          <w:i w:val="0"/>
          <w:caps w:val="0"/>
          <w:color w:val="000000"/>
          <w:spacing w:val="0"/>
          <w:sz w:val="31"/>
          <w:szCs w:val="31"/>
          <w:shd w:val="clear" w:color="auto" w:fill="auto"/>
        </w:rPr>
        <w:t>2021年柳州市</w:t>
      </w:r>
      <w:r>
        <w:rPr>
          <w:rFonts w:hint="eastAsia" w:ascii="仿宋_GB2312" w:hAnsi="微软雅黑" w:eastAsia="仿宋_GB2312" w:cs="仿宋_GB2312"/>
          <w:b w:val="0"/>
          <w:i w:val="0"/>
          <w:caps w:val="0"/>
          <w:color w:val="000000"/>
          <w:spacing w:val="0"/>
          <w:sz w:val="31"/>
          <w:szCs w:val="31"/>
          <w:shd w:val="clear" w:color="auto" w:fill="auto"/>
          <w:lang w:eastAsia="zh-CN"/>
        </w:rPr>
        <w:t>鱼峰区人民</w:t>
      </w:r>
      <w:r>
        <w:rPr>
          <w:rFonts w:hint="eastAsia" w:ascii="仿宋_GB2312" w:hAnsi="微软雅黑" w:eastAsia="仿宋_GB2312" w:cs="仿宋_GB2312"/>
          <w:b w:val="0"/>
          <w:i w:val="0"/>
          <w:caps w:val="0"/>
          <w:color w:val="000000"/>
          <w:spacing w:val="0"/>
          <w:sz w:val="31"/>
          <w:szCs w:val="31"/>
          <w:shd w:val="clear" w:color="auto" w:fill="auto"/>
        </w:rPr>
        <w:t>法院的主要工作目标是：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（一）始终坚持学习贯彻习近平法治思想，坚持党对法院工作的绝对领导。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（二）始终坚持聚焦审判执行中心工作，在执法办案中服务经济社会高质量发展大局。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（三）始终坚持以人民为中心，努力满足新时代人民群众对公正司法的新需求。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（四）始终坚持改革创新，努力推进审判体系和审判能力现代化。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（五）始终坚持全面从严治党，着力培养高素质法官队伍。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（六）始终坚持主动接受监督，加强和改进法院工作。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二、机构设置情况</w:t>
      </w:r>
    </w:p>
    <w:p>
      <w:pPr>
        <w:adjustRightInd w:val="0"/>
        <w:snapToGrid w:val="0"/>
        <w:spacing w:line="560" w:lineRule="exact"/>
        <w:ind w:right="-218" w:rightChars="-104" w:firstLine="640" w:firstLineChars="200"/>
        <w:rPr>
          <w:rFonts w:hint="eastAsia" w:ascii="仿宋_GB2312" w:hAnsi="微软雅黑" w:eastAsia="仿宋_GB2312" w:cs="仿宋_GB2312"/>
          <w:b w:val="0"/>
          <w:i w:val="0"/>
          <w:caps w:val="0"/>
          <w:color w:val="000000"/>
          <w:spacing w:val="0"/>
          <w:sz w:val="31"/>
          <w:szCs w:val="31"/>
          <w:shd w:val="clear" w:color="auto" w:fill="auto"/>
        </w:rPr>
      </w:pPr>
      <w:r>
        <w:rPr>
          <w:rFonts w:hint="eastAsia" w:ascii="仿宋_GB2312" w:hAnsi="仿宋_GB2312" w:eastAsia="仿宋_GB2312"/>
          <w:sz w:val="32"/>
          <w:szCs w:val="22"/>
          <w:lang w:eastAsia="zh-CN"/>
        </w:rPr>
        <w:t>我院为广西法院检察院财物统一管理改革试点单位，从</w:t>
      </w:r>
      <w:r>
        <w:rPr>
          <w:rFonts w:hint="eastAsia" w:ascii="仿宋_GB2312" w:hAnsi="仿宋_GB2312" w:eastAsia="仿宋_GB2312"/>
          <w:sz w:val="32"/>
          <w:szCs w:val="22"/>
          <w:lang w:val="en-US" w:eastAsia="zh-CN"/>
        </w:rPr>
        <w:t>2020年起我</w:t>
      </w:r>
      <w:r>
        <w:rPr>
          <w:rFonts w:hint="eastAsia" w:ascii="仿宋_GB2312" w:hAnsi="仿宋_GB2312" w:eastAsia="仿宋_GB2312"/>
          <w:sz w:val="32"/>
          <w:szCs w:val="22"/>
        </w:rPr>
        <w:t>院作为市中级</w:t>
      </w:r>
      <w:r>
        <w:rPr>
          <w:rFonts w:hint="eastAsia" w:ascii="仿宋_GB2312" w:hAnsi="仿宋_GB2312" w:eastAsia="仿宋_GB2312"/>
          <w:sz w:val="32"/>
          <w:szCs w:val="22"/>
          <w:lang w:val="en-US" w:eastAsia="zh-CN"/>
        </w:rPr>
        <w:t>人民</w:t>
      </w:r>
      <w:r>
        <w:rPr>
          <w:rFonts w:hint="eastAsia" w:ascii="仿宋_GB2312" w:hAnsi="仿宋_GB2312" w:eastAsia="仿宋_GB2312"/>
          <w:sz w:val="32"/>
          <w:szCs w:val="22"/>
        </w:rPr>
        <w:t>法院二级预算单位</w:t>
      </w:r>
      <w:r>
        <w:rPr>
          <w:rFonts w:hint="eastAsia" w:ascii="仿宋_GB2312" w:hAnsi="仿宋_GB2312" w:eastAsia="仿宋_GB2312"/>
          <w:sz w:val="32"/>
          <w:szCs w:val="22"/>
          <w:lang w:eastAsia="zh-CN"/>
        </w:rPr>
        <w:t>进行管理。</w:t>
      </w:r>
      <w:r>
        <w:rPr>
          <w:rFonts w:hint="eastAsia" w:ascii="仿宋_GB2312" w:hAnsi="微软雅黑" w:eastAsia="仿宋_GB2312" w:cs="仿宋_GB2312"/>
          <w:b w:val="0"/>
          <w:i w:val="0"/>
          <w:caps w:val="0"/>
          <w:color w:val="000000"/>
          <w:spacing w:val="0"/>
          <w:sz w:val="31"/>
          <w:szCs w:val="31"/>
          <w:shd w:val="clear" w:color="auto" w:fill="auto"/>
        </w:rPr>
        <w:t>共有</w:t>
      </w:r>
      <w:r>
        <w:rPr>
          <w:rFonts w:hint="eastAsia" w:ascii="仿宋_GB2312" w:hAnsi="微软雅黑" w:eastAsia="仿宋_GB2312" w:cs="仿宋_GB2312"/>
          <w:b w:val="0"/>
          <w:i w:val="0"/>
          <w:caps w:val="0"/>
          <w:color w:val="000000"/>
          <w:spacing w:val="0"/>
          <w:sz w:val="31"/>
          <w:szCs w:val="31"/>
          <w:shd w:val="clear" w:color="auto" w:fill="auto"/>
          <w:lang w:eastAsia="zh-CN"/>
        </w:rPr>
        <w:t>立案庭、刑事审判庭、民事审判第一庭、民事审判第二庭、行政审判庭、执行庭、审判监督庭、雒容人民法庭、阳和开发区人民法庭、办公室、政工科、监察室、法警大队等共计13个部门。  </w:t>
      </w:r>
      <w:r>
        <w:rPr>
          <w:rFonts w:hint="eastAsia" w:ascii="仿宋_GB2312" w:hAnsi="微软雅黑" w:eastAsia="仿宋_GB2312" w:cs="仿宋_GB2312"/>
          <w:b w:val="0"/>
          <w:i w:val="0"/>
          <w:caps w:val="0"/>
          <w:color w:val="000000"/>
          <w:spacing w:val="0"/>
          <w:sz w:val="31"/>
          <w:szCs w:val="31"/>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w:t>
      </w:r>
      <w:r>
        <w:rPr>
          <w:rFonts w:hint="eastAsia" w:ascii="仿宋_GB2312" w:hAnsi="微软雅黑" w:eastAsia="仿宋_GB2312" w:cs="仿宋_GB2312"/>
          <w:b w:val="0"/>
          <w:i w:val="0"/>
          <w:caps w:val="0"/>
          <w:color w:val="000000"/>
          <w:spacing w:val="0"/>
          <w:sz w:val="31"/>
          <w:szCs w:val="31"/>
          <w:shd w:val="clear" w:color="auto" w:fill="auto"/>
          <w:lang w:val="en-US" w:eastAsia="zh-CN"/>
        </w:rPr>
        <w:t xml:space="preserve">  </w:t>
      </w:r>
      <w:r>
        <w:rPr>
          <w:rFonts w:hint="eastAsia" w:ascii="仿宋_GB2312" w:hAnsi="微软雅黑" w:eastAsia="仿宋_GB2312" w:cs="仿宋_GB2312"/>
          <w:b w:val="0"/>
          <w:i w:val="0"/>
          <w:caps w:val="0"/>
          <w:color w:val="000000"/>
          <w:spacing w:val="0"/>
          <w:sz w:val="31"/>
          <w:szCs w:val="31"/>
          <w:shd w:val="clear" w:color="auto" w:fill="auto"/>
          <w:lang w:eastAsia="zh-CN"/>
        </w:rPr>
        <w:t>各部门主要职能如下：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立案庭负责民事、行政、刑事、执行等各类案件的立案；审查诉前财产保全、证据保全申请，作出裁定后移送相关庭室执行；核算诉讼费，办理诉讼费的缓交、减交、免交申请的审批手续；负责本院的信访工作；统一编立、登记各类案件的案号，分流案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刑庭审判由区人民检察院提起公诉的各类第一审刑事案件；依法审判由本院管辖的刑事自诉案件；上级人民法院指定审理的第一审刑事案件。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民一庭审判第一审有关婚姻家庭、劳动争议、不当得利、无因管理等传统民事案件及农村承包合同案件；自然人之间、自然人与法人、其他组织之间的合同、侵权案件；适用特别程序的案件。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民二庭审判第一审国内法人之间、法人与其他组织之间的合同纠纷、侵权纠纷案件，国内证券、期货、票据、股权、公司等案件。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行政庭负责审理一审行政诉讼案件、行政赔偿案件；审查处理非诉行政执行案件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执行庭负责执行立案庭受理的各类执行案件，刑事审判庭移送执行的附加财产刑案件和外地法院委托执行的案件，协助外地法院来本辖区执行案件；办理委托执行案件的有关手续和委托评估拍卖的有关手续。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审监庭开展案件质量评查与核查工作；负责审判效率管理，监督审判工作流程，规范审限管理和结案管理；按时完成司法统计，评估分析审判工作运行态势；负责审判委员会日常工作。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政治部负责本院的思想政治工作、队伍建设和党建工作；负责组织人事工作、教育培训工作以及工作考核、表彰和立功创模活动。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监察室负责草拟和落实党风廉政建设的各项规章制度，监督、检查本院干警执行国家法律、法规政策及工作纪律的情况；负责与人大代表、政协委员联络工作，督办人大代表、政协委员建议和政协委员提案；协助管理本院基础建设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综合办公室协助院领导组织、协调、处理司法政务；督办院长办公会议决定事项和领导交办的事项；编制年度经费预算，管理各项经费和国有资产；负责重要会议和重大活动的后勤保障工作；负责印章的管理、收发文件，文书打印；文书档案管理；全院网络的管理和维护；负责新闻宣传和论文调研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法警队负责安全保卫工作，负责执行押解人犯、值庭，协助审判、执行人员完成强制执行、财产保全、送达等任务；协助有关重大警务活动的安全保卫工作；负责本院公用车辆的管理。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23" w:lineRule="atLeast"/>
        <w:ind w:left="0" w:right="0"/>
        <w:jc w:val="both"/>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lang w:eastAsia="zh-CN"/>
        </w:rPr>
        <w:t>　　雒容法庭、阳和法庭审理本院受理的被告在本庭辖区内的一般民商事案件。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jc w:val="center"/>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第二部分：</w:t>
      </w:r>
      <w:r>
        <w:rPr>
          <w:rStyle w:val="5"/>
          <w:rFonts w:hint="eastAsia" w:ascii="仿宋_GB2312" w:hAnsi="微软雅黑" w:eastAsia="仿宋_GB2312" w:cs="仿宋_GB2312"/>
          <w:b/>
          <w:i w:val="0"/>
          <w:caps w:val="0"/>
          <w:color w:val="000000"/>
          <w:spacing w:val="0"/>
          <w:sz w:val="31"/>
          <w:szCs w:val="31"/>
          <w:shd w:val="clear" w:color="auto" w:fill="auto"/>
          <w:lang w:eastAsia="zh-CN"/>
        </w:rPr>
        <w:t>柳州市鱼峰区人民法院</w:t>
      </w:r>
      <w:r>
        <w:rPr>
          <w:rStyle w:val="5"/>
          <w:rFonts w:hint="eastAsia" w:ascii="仿宋_GB2312" w:hAnsi="微软雅黑" w:eastAsia="仿宋_GB2312" w:cs="仿宋_GB2312"/>
          <w:b/>
          <w:i w:val="0"/>
          <w:caps w:val="0"/>
          <w:color w:val="000000"/>
          <w:spacing w:val="0"/>
          <w:sz w:val="31"/>
          <w:szCs w:val="31"/>
          <w:shd w:val="clear" w:color="auto" w:fill="auto"/>
        </w:rPr>
        <w:t>2021年部门预算报表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一、部门收支总体情况表（预算公开01表）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二、部门收入总体情况表（预算公开02表）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三、部门支出总体情况表（预算公开03表）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四、财政拨款收支总体情况表（预算公开04表）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五、一般公共预算支出情况表（预算公开05表）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六、一般公共预算基本支出情况表（预算公开06表）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七、一般公共预算“三公”经费支出情况表（预算公开07表）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八、政府性基金预算支出情况表（预算公开08表）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九、国有资本经营预算支出情况表（预算公开09表）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十、政府采购预算表（预算公开10表）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十一、政府购买服务预算表（预算公开11表）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上述报表详见附件。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jc w:val="both"/>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jc w:val="center"/>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第三部分：</w:t>
      </w:r>
      <w:r>
        <w:rPr>
          <w:rStyle w:val="5"/>
          <w:rFonts w:hint="eastAsia" w:ascii="仿宋_GB2312" w:hAnsi="微软雅黑" w:eastAsia="仿宋_GB2312" w:cs="仿宋_GB2312"/>
          <w:b/>
          <w:i w:val="0"/>
          <w:caps w:val="0"/>
          <w:color w:val="000000"/>
          <w:spacing w:val="0"/>
          <w:sz w:val="31"/>
          <w:szCs w:val="31"/>
          <w:shd w:val="clear" w:color="auto" w:fill="auto"/>
          <w:lang w:eastAsia="zh-CN"/>
        </w:rPr>
        <w:t>柳州市鱼峰区人民法院</w:t>
      </w:r>
      <w:r>
        <w:rPr>
          <w:rStyle w:val="5"/>
          <w:rFonts w:hint="eastAsia" w:ascii="仿宋_GB2312" w:hAnsi="微软雅黑" w:eastAsia="仿宋_GB2312" w:cs="仿宋_GB2312"/>
          <w:b/>
          <w:i w:val="0"/>
          <w:caps w:val="0"/>
          <w:color w:val="000000"/>
          <w:spacing w:val="0"/>
          <w:sz w:val="31"/>
          <w:szCs w:val="31"/>
          <w:shd w:val="clear" w:color="auto" w:fill="auto"/>
        </w:rPr>
        <w:t>2021年部门预算情况说明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一、部门收支预算情况说明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2021年部门收支总预算3</w:t>
      </w:r>
      <w:r>
        <w:rPr>
          <w:rFonts w:hint="eastAsia" w:ascii="仿宋_GB2312" w:hAnsi="微软雅黑" w:eastAsia="仿宋_GB2312" w:cs="仿宋_GB2312"/>
          <w:b w:val="0"/>
          <w:i w:val="0"/>
          <w:caps w:val="0"/>
          <w:color w:val="000000"/>
          <w:spacing w:val="0"/>
          <w:sz w:val="31"/>
          <w:szCs w:val="31"/>
          <w:shd w:val="clear" w:color="auto" w:fill="auto"/>
          <w:lang w:val="en-US" w:eastAsia="zh-CN"/>
        </w:rPr>
        <w:t>123.31</w:t>
      </w:r>
      <w:r>
        <w:rPr>
          <w:rFonts w:hint="eastAsia" w:ascii="仿宋_GB2312" w:hAnsi="微软雅黑" w:eastAsia="仿宋_GB2312" w:cs="仿宋_GB2312"/>
          <w:b w:val="0"/>
          <w:i w:val="0"/>
          <w:caps w:val="0"/>
          <w:color w:val="000000"/>
          <w:spacing w:val="0"/>
          <w:sz w:val="31"/>
          <w:szCs w:val="31"/>
          <w:shd w:val="clear" w:color="auto" w:fill="auto"/>
        </w:rPr>
        <w:t>万元，</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3123.31</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收入包括：一般公共财政预算拨款、上年结余收入;支出包括：公共安全支出、社会保障和就业支出、卫生健康支出和住房保障支出。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二、部门收入预算情况说明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lang w:eastAsia="zh-CN"/>
        </w:rPr>
        <w:t>2021年部门收支总预算3123.31万元，</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3123.31</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宋体" w:eastAsia="仿宋_GB2312" w:cs="仿宋_GB2312"/>
          <w:b w:val="0"/>
          <w:i w:val="0"/>
          <w:caps w:val="0"/>
          <w:color w:val="000000"/>
          <w:spacing w:val="0"/>
          <w:sz w:val="31"/>
          <w:szCs w:val="31"/>
          <w:shd w:val="clear" w:fill="FFFFFF"/>
          <w:lang w:eastAsia="zh-CN"/>
        </w:rPr>
        <w:t>。</w:t>
      </w:r>
      <w:r>
        <w:rPr>
          <w:rFonts w:hint="eastAsia" w:ascii="仿宋_GB2312" w:hAnsi="微软雅黑" w:eastAsia="仿宋_GB2312" w:cs="仿宋_GB2312"/>
          <w:b w:val="0"/>
          <w:i w:val="0"/>
          <w:caps w:val="0"/>
          <w:color w:val="000000"/>
          <w:spacing w:val="0"/>
          <w:sz w:val="31"/>
          <w:szCs w:val="31"/>
          <w:shd w:val="clear" w:color="auto" w:fill="auto"/>
        </w:rPr>
        <w:t>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仿宋_GB2312" w:cs="微软雅黑"/>
          <w:b w:val="0"/>
          <w:i w:val="0"/>
          <w:caps w:val="0"/>
          <w:color w:val="000000"/>
          <w:spacing w:val="0"/>
          <w:sz w:val="24"/>
          <w:szCs w:val="24"/>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rPr>
        <w:t>（一）一般公共财政预算拨款</w:t>
      </w:r>
      <w:r>
        <w:rPr>
          <w:rFonts w:hint="eastAsia" w:ascii="仿宋_GB2312" w:hAnsi="微软雅黑" w:eastAsia="仿宋_GB2312" w:cs="仿宋_GB2312"/>
          <w:b w:val="0"/>
          <w:i w:val="0"/>
          <w:caps w:val="0"/>
          <w:color w:val="000000"/>
          <w:spacing w:val="0"/>
          <w:sz w:val="31"/>
          <w:szCs w:val="31"/>
          <w:shd w:val="clear" w:color="auto" w:fill="auto"/>
          <w:lang w:val="en-US" w:eastAsia="zh-CN"/>
        </w:rPr>
        <w:t>3123.26</w:t>
      </w:r>
      <w:r>
        <w:rPr>
          <w:rFonts w:hint="eastAsia" w:ascii="仿宋_GB2312" w:hAnsi="微软雅黑" w:eastAsia="仿宋_GB2312" w:cs="仿宋_GB2312"/>
          <w:b w:val="0"/>
          <w:i w:val="0"/>
          <w:caps w:val="0"/>
          <w:color w:val="000000"/>
          <w:spacing w:val="0"/>
          <w:sz w:val="31"/>
          <w:szCs w:val="31"/>
          <w:shd w:val="clear" w:color="auto" w:fill="auto"/>
        </w:rPr>
        <w:t>万元，占收入总预算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100</w:t>
      </w:r>
      <w:r>
        <w:rPr>
          <w:rFonts w:hint="eastAsia" w:ascii="仿宋_GB2312" w:hAnsi="微软雅黑" w:eastAsia="仿宋_GB2312" w:cs="仿宋_GB2312"/>
          <w:b w:val="0"/>
          <w:i w:val="0"/>
          <w:caps w:val="0"/>
          <w:color w:val="000000"/>
          <w:spacing w:val="0"/>
          <w:sz w:val="31"/>
          <w:szCs w:val="31"/>
          <w:shd w:val="clear" w:color="auto" w:fill="auto"/>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3123.31</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宋体" w:eastAsia="仿宋_GB2312" w:cs="仿宋_GB2312"/>
          <w:b w:val="0"/>
          <w:i w:val="0"/>
          <w:caps w:val="0"/>
          <w:color w:val="000000"/>
          <w:spacing w:val="0"/>
          <w:sz w:val="31"/>
          <w:szCs w:val="31"/>
          <w:shd w:val="clear" w:fill="FFFFFF"/>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仿宋_GB2312" w:hAnsi="微软雅黑" w:eastAsia="仿宋_GB2312" w:cs="仿宋_GB2312"/>
          <w:b w:val="0"/>
          <w:i w:val="0"/>
          <w:caps w:val="0"/>
          <w:color w:val="000000"/>
          <w:spacing w:val="0"/>
          <w:sz w:val="31"/>
          <w:szCs w:val="31"/>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rPr>
        <w:t>（二）上年结余（结转）收入</w:t>
      </w:r>
      <w:r>
        <w:rPr>
          <w:rFonts w:hint="eastAsia" w:ascii="仿宋_GB2312" w:hAnsi="微软雅黑" w:eastAsia="仿宋_GB2312" w:cs="仿宋_GB2312"/>
          <w:b w:val="0"/>
          <w:i w:val="0"/>
          <w:caps w:val="0"/>
          <w:color w:val="000000"/>
          <w:spacing w:val="0"/>
          <w:sz w:val="31"/>
          <w:szCs w:val="31"/>
          <w:shd w:val="clear" w:color="auto" w:fill="auto"/>
          <w:lang w:val="en-US" w:eastAsia="zh-CN"/>
        </w:rPr>
        <w:t>0</w:t>
      </w:r>
      <w:r>
        <w:rPr>
          <w:rFonts w:hint="eastAsia" w:ascii="仿宋_GB2312" w:hAnsi="微软雅黑" w:eastAsia="仿宋_GB2312" w:cs="仿宋_GB2312"/>
          <w:b w:val="0"/>
          <w:i w:val="0"/>
          <w:caps w:val="0"/>
          <w:color w:val="000000"/>
          <w:spacing w:val="0"/>
          <w:sz w:val="31"/>
          <w:szCs w:val="31"/>
          <w:shd w:val="clear" w:color="auto" w:fill="auto"/>
        </w:rPr>
        <w:t>万元</w:t>
      </w:r>
      <w:r>
        <w:rPr>
          <w:rFonts w:hint="eastAsia" w:ascii="仿宋_GB2312" w:hAnsi="微软雅黑" w:eastAsia="仿宋_GB2312" w:cs="仿宋_GB2312"/>
          <w:b w:val="0"/>
          <w:i w:val="0"/>
          <w:caps w:val="0"/>
          <w:color w:val="000000"/>
          <w:spacing w:val="0"/>
          <w:sz w:val="31"/>
          <w:szCs w:val="31"/>
          <w:shd w:val="clear" w:color="auto" w:fill="auto"/>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2021年收入预算总体增加的主要原因：</w:t>
      </w:r>
      <w:r>
        <w:rPr>
          <w:rFonts w:hint="eastAsia" w:ascii="仿宋_GB2312" w:hAnsi="微软雅黑" w:eastAsia="仿宋_GB2312" w:cs="仿宋_GB2312"/>
          <w:b w:val="0"/>
          <w:i w:val="0"/>
          <w:caps w:val="0"/>
          <w:color w:val="000000"/>
          <w:spacing w:val="0"/>
          <w:sz w:val="31"/>
          <w:szCs w:val="31"/>
          <w:shd w:val="clear" w:color="auto" w:fill="auto"/>
          <w:lang w:eastAsia="zh-CN"/>
        </w:rPr>
        <w:t>柳州市鱼峰区人民法院</w:t>
      </w:r>
      <w:r>
        <w:rPr>
          <w:rFonts w:hint="eastAsia" w:ascii="仿宋_GB2312" w:hAnsi="微软雅黑" w:eastAsia="仿宋_GB2312" w:cs="仿宋_GB2312"/>
          <w:b w:val="0"/>
          <w:i w:val="0"/>
          <w:caps w:val="0"/>
          <w:color w:val="000000"/>
          <w:spacing w:val="0"/>
          <w:sz w:val="31"/>
          <w:szCs w:val="31"/>
          <w:shd w:val="clear" w:color="auto" w:fill="auto"/>
        </w:rPr>
        <w:t>为广西法院检察院财物统一管理改革试点单位，从2020年起我市各县（区）法院作为市中级</w:t>
      </w:r>
      <w:r>
        <w:rPr>
          <w:rFonts w:hint="eastAsia" w:ascii="仿宋_GB2312" w:hAnsi="微软雅黑" w:eastAsia="仿宋_GB2312" w:cs="仿宋_GB2312"/>
          <w:b w:val="0"/>
          <w:i w:val="0"/>
          <w:caps w:val="0"/>
          <w:color w:val="000000"/>
          <w:spacing w:val="0"/>
          <w:sz w:val="31"/>
          <w:szCs w:val="31"/>
          <w:shd w:val="clear" w:color="auto" w:fill="auto"/>
          <w:lang w:val="en-US" w:eastAsia="zh-CN"/>
        </w:rPr>
        <w:t>人民</w:t>
      </w:r>
      <w:r>
        <w:rPr>
          <w:rFonts w:hint="eastAsia" w:ascii="仿宋_GB2312" w:hAnsi="微软雅黑" w:eastAsia="仿宋_GB2312" w:cs="仿宋_GB2312"/>
          <w:b w:val="0"/>
          <w:i w:val="0"/>
          <w:caps w:val="0"/>
          <w:color w:val="000000"/>
          <w:spacing w:val="0"/>
          <w:sz w:val="31"/>
          <w:szCs w:val="31"/>
          <w:shd w:val="clear" w:color="auto" w:fill="auto"/>
        </w:rPr>
        <w:t>法院二级预算单位进行管理，因是首次纳入市级预算管理，相关工作尚待理顺，2020年各县（区）法院相关经费以预</w:t>
      </w:r>
      <w:r>
        <w:rPr>
          <w:rFonts w:hint="eastAsia" w:ascii="仿宋_GB2312" w:hAnsi="微软雅黑" w:eastAsia="仿宋_GB2312" w:cs="仿宋_GB2312"/>
          <w:b w:val="0"/>
          <w:i w:val="0"/>
          <w:caps w:val="0"/>
          <w:color w:val="000000"/>
          <w:spacing w:val="0"/>
          <w:sz w:val="31"/>
          <w:szCs w:val="31"/>
          <w:shd w:val="clear" w:color="auto" w:fill="auto"/>
          <w:lang w:eastAsia="zh-CN"/>
        </w:rPr>
        <w:t>拨</w:t>
      </w:r>
      <w:r>
        <w:rPr>
          <w:rFonts w:hint="eastAsia" w:ascii="仿宋_GB2312" w:hAnsi="微软雅黑" w:eastAsia="仿宋_GB2312" w:cs="仿宋_GB2312"/>
          <w:b w:val="0"/>
          <w:i w:val="0"/>
          <w:caps w:val="0"/>
          <w:color w:val="000000"/>
          <w:spacing w:val="0"/>
          <w:sz w:val="31"/>
          <w:szCs w:val="31"/>
          <w:shd w:val="clear" w:color="auto" w:fill="auto"/>
        </w:rPr>
        <w:t>形式</w:t>
      </w:r>
      <w:r>
        <w:rPr>
          <w:rFonts w:hint="eastAsia" w:ascii="仿宋_GB2312" w:hAnsi="微软雅黑" w:eastAsia="仿宋_GB2312" w:cs="仿宋_GB2312"/>
          <w:b w:val="0"/>
          <w:i w:val="0"/>
          <w:caps w:val="0"/>
          <w:color w:val="000000"/>
          <w:spacing w:val="0"/>
          <w:sz w:val="31"/>
          <w:szCs w:val="31"/>
          <w:shd w:val="clear" w:color="auto" w:fill="auto"/>
          <w:lang w:eastAsia="zh-CN"/>
        </w:rPr>
        <w:t>未</w:t>
      </w:r>
      <w:r>
        <w:rPr>
          <w:rFonts w:hint="eastAsia" w:ascii="仿宋_GB2312" w:hAnsi="微软雅黑" w:eastAsia="仿宋_GB2312" w:cs="仿宋_GB2312"/>
          <w:b w:val="0"/>
          <w:i w:val="0"/>
          <w:caps w:val="0"/>
          <w:color w:val="000000"/>
          <w:spacing w:val="0"/>
          <w:sz w:val="31"/>
          <w:szCs w:val="31"/>
          <w:shd w:val="clear" w:color="auto" w:fill="auto"/>
        </w:rPr>
        <w:t>编入市本级预算，</w:t>
      </w:r>
      <w:r>
        <w:rPr>
          <w:rFonts w:hint="eastAsia" w:ascii="仿宋_GB2312" w:hAnsi="微软雅黑" w:eastAsia="仿宋_GB2312" w:cs="仿宋_GB2312"/>
          <w:b w:val="0"/>
          <w:i w:val="0"/>
          <w:caps w:val="0"/>
          <w:color w:val="000000"/>
          <w:spacing w:val="0"/>
          <w:sz w:val="31"/>
          <w:szCs w:val="31"/>
          <w:shd w:val="clear" w:color="auto" w:fill="auto"/>
          <w:lang w:eastAsia="zh-CN"/>
        </w:rPr>
        <w:t>柳州市鱼峰区人民法院</w:t>
      </w:r>
      <w:r>
        <w:rPr>
          <w:rFonts w:hint="eastAsia" w:ascii="仿宋_GB2312" w:hAnsi="微软雅黑" w:eastAsia="仿宋_GB2312" w:cs="仿宋_GB2312"/>
          <w:b w:val="0"/>
          <w:i w:val="0"/>
          <w:caps w:val="0"/>
          <w:color w:val="000000"/>
          <w:spacing w:val="0"/>
          <w:sz w:val="31"/>
          <w:szCs w:val="31"/>
          <w:shd w:val="clear" w:color="auto" w:fill="auto"/>
        </w:rPr>
        <w:t>2021年的收入预算数较上年有大幅度增加。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三、部门支出预算情况说明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2021年部门支出总预算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3123.31</w:t>
      </w:r>
      <w:r>
        <w:rPr>
          <w:rFonts w:hint="eastAsia" w:ascii="仿宋_GB2312" w:hAnsi="微软雅黑" w:eastAsia="仿宋_GB2312" w:cs="仿宋_GB2312"/>
          <w:b w:val="0"/>
          <w:i w:val="0"/>
          <w:caps w:val="0"/>
          <w:color w:val="000000"/>
          <w:spacing w:val="0"/>
          <w:sz w:val="31"/>
          <w:szCs w:val="31"/>
          <w:shd w:val="clear" w:color="auto" w:fill="auto"/>
        </w:rPr>
        <w:t>万元，基本支出预算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1846.26</w:t>
      </w:r>
      <w:r>
        <w:rPr>
          <w:rFonts w:hint="eastAsia" w:ascii="仿宋_GB2312" w:hAnsi="微软雅黑" w:eastAsia="仿宋_GB2312" w:cs="仿宋_GB2312"/>
          <w:b w:val="0"/>
          <w:i w:val="0"/>
          <w:caps w:val="0"/>
          <w:color w:val="000000"/>
          <w:spacing w:val="0"/>
          <w:sz w:val="31"/>
          <w:szCs w:val="31"/>
          <w:shd w:val="clear" w:color="auto" w:fill="auto"/>
        </w:rPr>
        <w:t>万元，占支出总预算的</w:t>
      </w:r>
      <w:r>
        <w:rPr>
          <w:rFonts w:hint="eastAsia" w:ascii="仿宋_GB2312" w:hAnsi="微软雅黑" w:eastAsia="仿宋_GB2312" w:cs="仿宋_GB2312"/>
          <w:b w:val="0"/>
          <w:i w:val="0"/>
          <w:caps w:val="0"/>
          <w:color w:val="000000"/>
          <w:spacing w:val="0"/>
          <w:sz w:val="31"/>
          <w:szCs w:val="31"/>
          <w:shd w:val="clear" w:color="auto" w:fill="auto"/>
          <w:lang w:val="en-US" w:eastAsia="zh-CN"/>
        </w:rPr>
        <w:t>59.11</w:t>
      </w:r>
      <w:r>
        <w:rPr>
          <w:rFonts w:hint="eastAsia" w:ascii="仿宋_GB2312" w:hAnsi="微软雅黑" w:eastAsia="仿宋_GB2312" w:cs="仿宋_GB2312"/>
          <w:b w:val="0"/>
          <w:i w:val="0"/>
          <w:caps w:val="0"/>
          <w:color w:val="000000"/>
          <w:spacing w:val="0"/>
          <w:sz w:val="31"/>
          <w:szCs w:val="31"/>
          <w:shd w:val="clear" w:color="auto" w:fill="auto"/>
        </w:rPr>
        <w:t>%</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1846.26</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。项目支出预算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1277</w:t>
      </w:r>
      <w:r>
        <w:rPr>
          <w:rFonts w:hint="eastAsia" w:ascii="仿宋_GB2312" w:hAnsi="微软雅黑" w:eastAsia="仿宋_GB2312" w:cs="仿宋_GB2312"/>
          <w:b w:val="0"/>
          <w:i w:val="0"/>
          <w:caps w:val="0"/>
          <w:color w:val="000000"/>
          <w:spacing w:val="0"/>
          <w:sz w:val="31"/>
          <w:szCs w:val="31"/>
          <w:shd w:val="clear" w:color="auto" w:fill="auto"/>
        </w:rPr>
        <w:t>万元，占支出总预算的</w:t>
      </w:r>
      <w:r>
        <w:rPr>
          <w:rFonts w:hint="eastAsia" w:ascii="仿宋_GB2312" w:hAnsi="微软雅黑" w:eastAsia="仿宋_GB2312" w:cs="仿宋_GB2312"/>
          <w:b w:val="0"/>
          <w:i w:val="0"/>
          <w:caps w:val="0"/>
          <w:color w:val="000000"/>
          <w:spacing w:val="0"/>
          <w:sz w:val="31"/>
          <w:szCs w:val="31"/>
          <w:shd w:val="clear" w:color="auto" w:fill="auto"/>
          <w:lang w:val="en-US" w:eastAsia="zh-CN"/>
        </w:rPr>
        <w:t>40.89</w:t>
      </w:r>
      <w:r>
        <w:rPr>
          <w:rFonts w:hint="eastAsia" w:ascii="仿宋_GB2312" w:hAnsi="微软雅黑" w:eastAsia="仿宋_GB2312" w:cs="仿宋_GB2312"/>
          <w:b w:val="0"/>
          <w:i w:val="0"/>
          <w:caps w:val="0"/>
          <w:color w:val="000000"/>
          <w:spacing w:val="0"/>
          <w:sz w:val="31"/>
          <w:szCs w:val="31"/>
          <w:shd w:val="clear" w:color="auto" w:fill="auto"/>
        </w:rPr>
        <w:t>%</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1277</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（一）按支出功能分类科目划分，共分为4类，其中：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1. 公共安全支出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2628.5</w:t>
      </w:r>
      <w:r>
        <w:rPr>
          <w:rFonts w:hint="eastAsia" w:ascii="仿宋_GB2312" w:hAnsi="微软雅黑" w:eastAsia="仿宋_GB2312" w:cs="仿宋_GB2312"/>
          <w:b w:val="0"/>
          <w:i w:val="0"/>
          <w:caps w:val="0"/>
          <w:color w:val="000000"/>
          <w:spacing w:val="0"/>
          <w:sz w:val="31"/>
          <w:szCs w:val="31"/>
          <w:shd w:val="clear" w:color="auto" w:fill="auto"/>
        </w:rPr>
        <w:t>万元</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hint="eastAsia" w:ascii="仿宋_GB2312" w:hAnsi="微软雅黑" w:eastAsia="仿宋_GB2312" w:cs="仿宋_GB2312"/>
          <w:b w:val="0"/>
          <w:i w:val="0"/>
          <w:caps w:val="0"/>
          <w:color w:val="000000"/>
          <w:spacing w:val="0"/>
          <w:sz w:val="31"/>
          <w:szCs w:val="31"/>
          <w:shd w:val="clear" w:color="auto" w:fill="auto"/>
        </w:rPr>
        <w:t>占支出总预算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84.16</w:t>
      </w:r>
      <w:r>
        <w:rPr>
          <w:rFonts w:hint="eastAsia" w:ascii="仿宋_GB2312" w:hAnsi="微软雅黑" w:eastAsia="仿宋_GB2312" w:cs="仿宋_GB2312"/>
          <w:b w:val="0"/>
          <w:i w:val="0"/>
          <w:caps w:val="0"/>
          <w:color w:val="000000"/>
          <w:spacing w:val="0"/>
          <w:sz w:val="31"/>
          <w:szCs w:val="31"/>
          <w:shd w:val="clear" w:color="auto" w:fill="auto"/>
        </w:rPr>
        <w:t>%</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2628.5</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w:t>
      </w:r>
      <w:r>
        <w:rPr>
          <w:rFonts w:hint="eastAsia" w:ascii="宋体" w:hAnsi="宋体" w:eastAsia="宋体" w:cs="宋体"/>
          <w:b w:val="0"/>
          <w:i w:val="0"/>
          <w:caps w:val="0"/>
          <w:color w:val="000000"/>
          <w:spacing w:val="0"/>
          <w:sz w:val="24"/>
          <w:szCs w:val="24"/>
          <w:shd w:val="clear" w:color="auto" w:fill="auto"/>
        </w:rPr>
        <w:t> </w:t>
      </w:r>
      <w:r>
        <w:rPr>
          <w:rFonts w:hint="eastAsia" w:ascii="仿宋_GB2312" w:hAnsi="微软雅黑" w:eastAsia="仿宋_GB2312" w:cs="仿宋_GB2312"/>
          <w:b w:val="0"/>
          <w:i w:val="0"/>
          <w:caps w:val="0"/>
          <w:color w:val="000000"/>
          <w:spacing w:val="0"/>
          <w:sz w:val="31"/>
          <w:szCs w:val="31"/>
          <w:shd w:val="clear" w:color="auto" w:fill="auto"/>
        </w:rPr>
        <w:t>社会保障和就业支出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254.2</w:t>
      </w:r>
      <w:r>
        <w:rPr>
          <w:rFonts w:hint="eastAsia" w:ascii="仿宋_GB2312" w:hAnsi="微软雅黑" w:eastAsia="仿宋_GB2312" w:cs="仿宋_GB2312"/>
          <w:b w:val="0"/>
          <w:i w:val="0"/>
          <w:caps w:val="0"/>
          <w:color w:val="000000"/>
          <w:spacing w:val="0"/>
          <w:sz w:val="31"/>
          <w:szCs w:val="31"/>
          <w:shd w:val="clear" w:color="auto" w:fill="auto"/>
        </w:rPr>
        <w:t>万元，占支出总预算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8.14</w:t>
      </w:r>
      <w:r>
        <w:rPr>
          <w:rFonts w:hint="eastAsia" w:ascii="仿宋_GB2312" w:hAnsi="微软雅黑" w:eastAsia="仿宋_GB2312" w:cs="仿宋_GB2312"/>
          <w:b w:val="0"/>
          <w:i w:val="0"/>
          <w:caps w:val="0"/>
          <w:color w:val="000000"/>
          <w:spacing w:val="0"/>
          <w:sz w:val="31"/>
          <w:szCs w:val="31"/>
          <w:shd w:val="clear" w:color="auto" w:fill="auto"/>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254.2</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3.</w:t>
      </w:r>
      <w:r>
        <w:rPr>
          <w:rFonts w:hint="eastAsia" w:ascii="宋体" w:hAnsi="宋体" w:eastAsia="宋体" w:cs="宋体"/>
          <w:b w:val="0"/>
          <w:i w:val="0"/>
          <w:caps w:val="0"/>
          <w:color w:val="000000"/>
          <w:spacing w:val="0"/>
          <w:sz w:val="24"/>
          <w:szCs w:val="24"/>
          <w:shd w:val="clear" w:color="auto" w:fill="auto"/>
        </w:rPr>
        <w:t> </w:t>
      </w:r>
      <w:r>
        <w:rPr>
          <w:rFonts w:hint="eastAsia" w:ascii="仿宋_GB2312" w:hAnsi="微软雅黑" w:eastAsia="仿宋_GB2312" w:cs="仿宋_GB2312"/>
          <w:b w:val="0"/>
          <w:i w:val="0"/>
          <w:caps w:val="0"/>
          <w:color w:val="000000"/>
          <w:spacing w:val="0"/>
          <w:sz w:val="31"/>
          <w:szCs w:val="31"/>
          <w:shd w:val="clear" w:color="auto" w:fill="auto"/>
        </w:rPr>
        <w:t>卫生健康支出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118.46</w:t>
      </w:r>
      <w:r>
        <w:rPr>
          <w:rFonts w:hint="eastAsia" w:ascii="仿宋_GB2312" w:hAnsi="微软雅黑" w:eastAsia="仿宋_GB2312" w:cs="仿宋_GB2312"/>
          <w:b w:val="0"/>
          <w:i w:val="0"/>
          <w:caps w:val="0"/>
          <w:color w:val="000000"/>
          <w:spacing w:val="0"/>
          <w:sz w:val="31"/>
          <w:szCs w:val="31"/>
          <w:shd w:val="clear" w:color="auto" w:fill="auto"/>
        </w:rPr>
        <w:t>万元，占支出总预算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3.79</w:t>
      </w:r>
      <w:r>
        <w:rPr>
          <w:rFonts w:hint="eastAsia" w:ascii="仿宋_GB2312" w:hAnsi="微软雅黑" w:eastAsia="仿宋_GB2312" w:cs="仿宋_GB2312"/>
          <w:b w:val="0"/>
          <w:i w:val="0"/>
          <w:caps w:val="0"/>
          <w:color w:val="000000"/>
          <w:spacing w:val="0"/>
          <w:sz w:val="31"/>
          <w:szCs w:val="31"/>
          <w:shd w:val="clear" w:color="auto" w:fill="auto"/>
        </w:rPr>
        <w:t>%</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118.46</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4.</w:t>
      </w:r>
      <w:r>
        <w:rPr>
          <w:rFonts w:hint="eastAsia" w:ascii="宋体" w:hAnsi="宋体" w:eastAsia="宋体" w:cs="宋体"/>
          <w:b w:val="0"/>
          <w:i w:val="0"/>
          <w:caps w:val="0"/>
          <w:color w:val="000000"/>
          <w:spacing w:val="0"/>
          <w:sz w:val="24"/>
          <w:szCs w:val="24"/>
          <w:shd w:val="clear" w:color="auto" w:fill="auto"/>
        </w:rPr>
        <w:t> </w:t>
      </w:r>
      <w:r>
        <w:rPr>
          <w:rFonts w:hint="eastAsia" w:ascii="仿宋_GB2312" w:hAnsi="微软雅黑" w:eastAsia="仿宋_GB2312" w:cs="仿宋_GB2312"/>
          <w:b w:val="0"/>
          <w:i w:val="0"/>
          <w:caps w:val="0"/>
          <w:color w:val="000000"/>
          <w:spacing w:val="0"/>
          <w:sz w:val="31"/>
          <w:szCs w:val="31"/>
          <w:shd w:val="clear" w:color="auto" w:fill="auto"/>
        </w:rPr>
        <w:t>住房保障支出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122.1</w:t>
      </w:r>
      <w:r>
        <w:rPr>
          <w:rFonts w:hint="eastAsia" w:ascii="仿宋_GB2312" w:hAnsi="微软雅黑" w:eastAsia="仿宋_GB2312" w:cs="仿宋_GB2312"/>
          <w:b w:val="0"/>
          <w:i w:val="0"/>
          <w:caps w:val="0"/>
          <w:color w:val="000000"/>
          <w:spacing w:val="0"/>
          <w:sz w:val="31"/>
          <w:szCs w:val="31"/>
          <w:shd w:val="clear" w:color="auto" w:fill="auto"/>
        </w:rPr>
        <w:t>万元，占支出总预算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3.91</w:t>
      </w:r>
      <w:r>
        <w:rPr>
          <w:rFonts w:hint="eastAsia" w:ascii="仿宋_GB2312" w:hAnsi="微软雅黑" w:eastAsia="仿宋_GB2312" w:cs="仿宋_GB2312"/>
          <w:b w:val="0"/>
          <w:i w:val="0"/>
          <w:caps w:val="0"/>
          <w:color w:val="000000"/>
          <w:spacing w:val="0"/>
          <w:sz w:val="31"/>
          <w:szCs w:val="31"/>
          <w:shd w:val="clear" w:color="auto" w:fill="auto"/>
        </w:rPr>
        <w:t>%</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122.1</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（二）按支出结构分类划分，分为基本支出预算和项目支出预算。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1.基本支出预算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1846.26</w:t>
      </w:r>
      <w:r>
        <w:rPr>
          <w:rFonts w:hint="eastAsia" w:ascii="仿宋_GB2312" w:hAnsi="微软雅黑" w:eastAsia="仿宋_GB2312" w:cs="仿宋_GB2312"/>
          <w:b w:val="0"/>
          <w:i w:val="0"/>
          <w:caps w:val="0"/>
          <w:color w:val="000000"/>
          <w:spacing w:val="0"/>
          <w:sz w:val="31"/>
          <w:szCs w:val="31"/>
          <w:shd w:val="clear" w:color="auto" w:fill="auto"/>
        </w:rPr>
        <w:t>万元，占支出总预算的</w:t>
      </w:r>
      <w:r>
        <w:rPr>
          <w:rFonts w:hint="eastAsia" w:ascii="仿宋_GB2312" w:hAnsi="微软雅黑" w:eastAsia="仿宋_GB2312" w:cs="仿宋_GB2312"/>
          <w:b w:val="0"/>
          <w:i w:val="0"/>
          <w:caps w:val="0"/>
          <w:color w:val="000000"/>
          <w:spacing w:val="0"/>
          <w:sz w:val="31"/>
          <w:szCs w:val="31"/>
          <w:shd w:val="clear" w:color="auto" w:fill="auto"/>
          <w:lang w:val="en-US" w:eastAsia="zh-CN"/>
        </w:rPr>
        <w:t>59.11</w:t>
      </w:r>
      <w:r>
        <w:rPr>
          <w:rFonts w:hint="eastAsia" w:ascii="仿宋_GB2312" w:hAnsi="微软雅黑" w:eastAsia="仿宋_GB2312" w:cs="仿宋_GB2312"/>
          <w:b w:val="0"/>
          <w:i w:val="0"/>
          <w:caps w:val="0"/>
          <w:color w:val="000000"/>
          <w:spacing w:val="0"/>
          <w:sz w:val="31"/>
          <w:szCs w:val="31"/>
          <w:shd w:val="clear" w:color="auto" w:fill="auto"/>
        </w:rPr>
        <w:t>%</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1846.26</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2.项目支出预算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1277</w:t>
      </w:r>
      <w:r>
        <w:rPr>
          <w:rFonts w:hint="eastAsia" w:ascii="仿宋_GB2312" w:hAnsi="微软雅黑" w:eastAsia="仿宋_GB2312" w:cs="仿宋_GB2312"/>
          <w:b w:val="0"/>
          <w:i w:val="0"/>
          <w:caps w:val="0"/>
          <w:color w:val="000000"/>
          <w:spacing w:val="0"/>
          <w:sz w:val="31"/>
          <w:szCs w:val="31"/>
          <w:shd w:val="clear" w:color="auto" w:fill="auto"/>
        </w:rPr>
        <w:t>万元，占支出总预算的</w:t>
      </w:r>
      <w:r>
        <w:rPr>
          <w:rFonts w:hint="eastAsia" w:ascii="仿宋_GB2312" w:hAnsi="微软雅黑" w:eastAsia="仿宋_GB2312" w:cs="仿宋_GB2312"/>
          <w:b w:val="0"/>
          <w:i w:val="0"/>
          <w:caps w:val="0"/>
          <w:color w:val="000000"/>
          <w:spacing w:val="0"/>
          <w:sz w:val="31"/>
          <w:szCs w:val="31"/>
          <w:shd w:val="clear" w:color="auto" w:fill="auto"/>
          <w:lang w:val="en-US" w:eastAsia="zh-CN"/>
        </w:rPr>
        <w:t>40.89</w:t>
      </w:r>
      <w:r>
        <w:rPr>
          <w:rFonts w:hint="eastAsia" w:ascii="仿宋_GB2312" w:hAnsi="微软雅黑" w:eastAsia="仿宋_GB2312" w:cs="仿宋_GB2312"/>
          <w:b w:val="0"/>
          <w:i w:val="0"/>
          <w:caps w:val="0"/>
          <w:color w:val="000000"/>
          <w:spacing w:val="0"/>
          <w:sz w:val="31"/>
          <w:szCs w:val="31"/>
          <w:shd w:val="clear" w:color="auto" w:fill="auto"/>
        </w:rPr>
        <w:t>%</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1277</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2021年收入预算总体增加的主要原因：</w:t>
      </w:r>
      <w:r>
        <w:rPr>
          <w:rFonts w:hint="eastAsia" w:ascii="仿宋_GB2312" w:hAnsi="微软雅黑" w:eastAsia="仿宋_GB2312" w:cs="仿宋_GB2312"/>
          <w:b w:val="0"/>
          <w:i w:val="0"/>
          <w:caps w:val="0"/>
          <w:color w:val="000000"/>
          <w:spacing w:val="0"/>
          <w:sz w:val="31"/>
          <w:szCs w:val="31"/>
          <w:shd w:val="clear" w:color="auto" w:fill="auto"/>
          <w:lang w:eastAsia="zh-CN"/>
        </w:rPr>
        <w:t>柳州市鱼峰区人民法院</w:t>
      </w:r>
      <w:r>
        <w:rPr>
          <w:rFonts w:hint="eastAsia" w:ascii="仿宋_GB2312" w:hAnsi="微软雅黑" w:eastAsia="仿宋_GB2312" w:cs="仿宋_GB2312"/>
          <w:b w:val="0"/>
          <w:i w:val="0"/>
          <w:caps w:val="0"/>
          <w:color w:val="000000"/>
          <w:spacing w:val="0"/>
          <w:sz w:val="31"/>
          <w:szCs w:val="31"/>
          <w:shd w:val="clear" w:color="auto" w:fill="auto"/>
        </w:rPr>
        <w:t>为广西法院检察院财物统一管理改革试点单位，从2020年起我市各县（区）法院作为市中级</w:t>
      </w:r>
      <w:r>
        <w:rPr>
          <w:rFonts w:hint="eastAsia" w:ascii="仿宋_GB2312" w:hAnsi="微软雅黑" w:eastAsia="仿宋_GB2312" w:cs="仿宋_GB2312"/>
          <w:b w:val="0"/>
          <w:i w:val="0"/>
          <w:caps w:val="0"/>
          <w:color w:val="000000"/>
          <w:spacing w:val="0"/>
          <w:sz w:val="31"/>
          <w:szCs w:val="31"/>
          <w:shd w:val="clear" w:color="auto" w:fill="auto"/>
          <w:lang w:val="en-US" w:eastAsia="zh-CN"/>
        </w:rPr>
        <w:t>人民</w:t>
      </w:r>
      <w:bookmarkStart w:id="0" w:name="_GoBack"/>
      <w:bookmarkEnd w:id="0"/>
      <w:r>
        <w:rPr>
          <w:rFonts w:hint="eastAsia" w:ascii="仿宋_GB2312" w:hAnsi="微软雅黑" w:eastAsia="仿宋_GB2312" w:cs="仿宋_GB2312"/>
          <w:b w:val="0"/>
          <w:i w:val="0"/>
          <w:caps w:val="0"/>
          <w:color w:val="000000"/>
          <w:spacing w:val="0"/>
          <w:sz w:val="31"/>
          <w:szCs w:val="31"/>
          <w:shd w:val="clear" w:color="auto" w:fill="auto"/>
        </w:rPr>
        <w:t>法院二级预算单位进行管理，因是首次纳入市级预算管理，相关工作尚待理顺，2020年各县（区）法院相关经费以预</w:t>
      </w:r>
      <w:r>
        <w:rPr>
          <w:rFonts w:hint="eastAsia" w:ascii="仿宋_GB2312" w:hAnsi="微软雅黑" w:eastAsia="仿宋_GB2312" w:cs="仿宋_GB2312"/>
          <w:b w:val="0"/>
          <w:i w:val="0"/>
          <w:caps w:val="0"/>
          <w:color w:val="000000"/>
          <w:spacing w:val="0"/>
          <w:sz w:val="31"/>
          <w:szCs w:val="31"/>
          <w:shd w:val="clear" w:color="auto" w:fill="auto"/>
          <w:lang w:eastAsia="zh-CN"/>
        </w:rPr>
        <w:t>拨</w:t>
      </w:r>
      <w:r>
        <w:rPr>
          <w:rFonts w:hint="eastAsia" w:ascii="仿宋_GB2312" w:hAnsi="微软雅黑" w:eastAsia="仿宋_GB2312" w:cs="仿宋_GB2312"/>
          <w:b w:val="0"/>
          <w:i w:val="0"/>
          <w:caps w:val="0"/>
          <w:color w:val="000000"/>
          <w:spacing w:val="0"/>
          <w:sz w:val="31"/>
          <w:szCs w:val="31"/>
          <w:shd w:val="clear" w:color="auto" w:fill="auto"/>
        </w:rPr>
        <w:t>形式</w:t>
      </w:r>
      <w:r>
        <w:rPr>
          <w:rFonts w:hint="eastAsia" w:ascii="仿宋_GB2312" w:hAnsi="微软雅黑" w:eastAsia="仿宋_GB2312" w:cs="仿宋_GB2312"/>
          <w:b w:val="0"/>
          <w:i w:val="0"/>
          <w:caps w:val="0"/>
          <w:color w:val="000000"/>
          <w:spacing w:val="0"/>
          <w:sz w:val="31"/>
          <w:szCs w:val="31"/>
          <w:shd w:val="clear" w:color="auto" w:fill="auto"/>
          <w:lang w:eastAsia="zh-CN"/>
        </w:rPr>
        <w:t>未</w:t>
      </w:r>
      <w:r>
        <w:rPr>
          <w:rFonts w:hint="eastAsia" w:ascii="仿宋_GB2312" w:hAnsi="微软雅黑" w:eastAsia="仿宋_GB2312" w:cs="仿宋_GB2312"/>
          <w:b w:val="0"/>
          <w:i w:val="0"/>
          <w:caps w:val="0"/>
          <w:color w:val="000000"/>
          <w:spacing w:val="0"/>
          <w:sz w:val="31"/>
          <w:szCs w:val="31"/>
          <w:shd w:val="clear" w:color="auto" w:fill="auto"/>
        </w:rPr>
        <w:t>编入市本级预算，</w:t>
      </w:r>
      <w:r>
        <w:rPr>
          <w:rFonts w:hint="eastAsia" w:ascii="仿宋_GB2312" w:hAnsi="微软雅黑" w:eastAsia="仿宋_GB2312" w:cs="仿宋_GB2312"/>
          <w:b w:val="0"/>
          <w:i w:val="0"/>
          <w:caps w:val="0"/>
          <w:color w:val="000000"/>
          <w:spacing w:val="0"/>
          <w:sz w:val="31"/>
          <w:szCs w:val="31"/>
          <w:shd w:val="clear" w:color="auto" w:fill="auto"/>
          <w:lang w:eastAsia="zh-CN"/>
        </w:rPr>
        <w:t>柳州市鱼峰区人民法院</w:t>
      </w:r>
      <w:r>
        <w:rPr>
          <w:rFonts w:hint="eastAsia" w:ascii="仿宋_GB2312" w:hAnsi="微软雅黑" w:eastAsia="仿宋_GB2312" w:cs="仿宋_GB2312"/>
          <w:b w:val="0"/>
          <w:i w:val="0"/>
          <w:caps w:val="0"/>
          <w:color w:val="000000"/>
          <w:spacing w:val="0"/>
          <w:sz w:val="31"/>
          <w:szCs w:val="31"/>
          <w:shd w:val="clear" w:color="auto" w:fill="auto"/>
        </w:rPr>
        <w:t>2021年的收入预算数较上年有大幅度增加。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四、财政拨款收支预算情况说明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2021年部门财政拨款收支总预算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3123.26</w:t>
      </w:r>
      <w:r>
        <w:rPr>
          <w:rFonts w:hint="eastAsia" w:ascii="仿宋_GB2312" w:hAnsi="微软雅黑" w:eastAsia="仿宋_GB2312" w:cs="仿宋_GB2312"/>
          <w:b w:val="0"/>
          <w:i w:val="0"/>
          <w:caps w:val="0"/>
          <w:color w:val="000000"/>
          <w:spacing w:val="0"/>
          <w:sz w:val="31"/>
          <w:szCs w:val="31"/>
          <w:shd w:val="clear" w:color="auto" w:fill="auto"/>
        </w:rPr>
        <w:t>万元， 收入包括：一般公共预算拨款</w:t>
      </w:r>
      <w:r>
        <w:rPr>
          <w:rFonts w:hint="eastAsia" w:ascii="仿宋_GB2312" w:hAnsi="微软雅黑" w:eastAsia="仿宋_GB2312" w:cs="仿宋_GB2312"/>
          <w:b w:val="0"/>
          <w:i w:val="0"/>
          <w:caps w:val="0"/>
          <w:color w:val="000000"/>
          <w:spacing w:val="0"/>
          <w:sz w:val="31"/>
          <w:szCs w:val="31"/>
          <w:shd w:val="clear" w:color="auto" w:fill="auto"/>
          <w:lang w:val="en-US" w:eastAsia="zh-CN"/>
        </w:rPr>
        <w:t>3123.26</w:t>
      </w:r>
      <w:r>
        <w:rPr>
          <w:rFonts w:hint="eastAsia" w:ascii="仿宋_GB2312" w:hAnsi="微软雅黑" w:eastAsia="仿宋_GB2312" w:cs="仿宋_GB2312"/>
          <w:b w:val="0"/>
          <w:i w:val="0"/>
          <w:caps w:val="0"/>
          <w:color w:val="000000"/>
          <w:spacing w:val="0"/>
          <w:sz w:val="31"/>
          <w:szCs w:val="31"/>
          <w:shd w:val="clear" w:color="auto" w:fill="auto"/>
        </w:rPr>
        <w:t>万元，上年结转结余</w:t>
      </w:r>
      <w:r>
        <w:rPr>
          <w:rFonts w:hint="eastAsia" w:ascii="仿宋_GB2312" w:hAnsi="微软雅黑" w:eastAsia="仿宋_GB2312" w:cs="仿宋_GB2312"/>
          <w:b w:val="0"/>
          <w:i w:val="0"/>
          <w:caps w:val="0"/>
          <w:color w:val="000000"/>
          <w:spacing w:val="0"/>
          <w:sz w:val="31"/>
          <w:szCs w:val="31"/>
          <w:shd w:val="clear" w:color="auto" w:fill="auto"/>
          <w:lang w:val="en-US" w:eastAsia="zh-CN"/>
        </w:rPr>
        <w:t>0</w:t>
      </w:r>
      <w:r>
        <w:rPr>
          <w:rFonts w:hint="eastAsia" w:ascii="仿宋_GB2312" w:hAnsi="微软雅黑" w:eastAsia="仿宋_GB2312" w:cs="仿宋_GB2312"/>
          <w:b w:val="0"/>
          <w:i w:val="0"/>
          <w:caps w:val="0"/>
          <w:color w:val="000000"/>
          <w:spacing w:val="0"/>
          <w:sz w:val="31"/>
          <w:szCs w:val="31"/>
          <w:shd w:val="clear" w:color="auto" w:fill="auto"/>
        </w:rPr>
        <w:t>万元;支出包括：公共安全支出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2628.5</w:t>
      </w:r>
      <w:r>
        <w:rPr>
          <w:rFonts w:hint="eastAsia" w:ascii="仿宋_GB2312" w:hAnsi="微软雅黑" w:eastAsia="仿宋_GB2312" w:cs="仿宋_GB2312"/>
          <w:b w:val="0"/>
          <w:i w:val="0"/>
          <w:caps w:val="0"/>
          <w:color w:val="000000"/>
          <w:spacing w:val="0"/>
          <w:sz w:val="31"/>
          <w:szCs w:val="31"/>
          <w:shd w:val="clear" w:color="auto" w:fill="auto"/>
        </w:rPr>
        <w:t>万元，社会保障和就业支出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254.2</w:t>
      </w:r>
      <w:r>
        <w:rPr>
          <w:rFonts w:hint="eastAsia" w:ascii="仿宋_GB2312" w:hAnsi="微软雅黑" w:eastAsia="仿宋_GB2312" w:cs="仿宋_GB2312"/>
          <w:b w:val="0"/>
          <w:i w:val="0"/>
          <w:caps w:val="0"/>
          <w:color w:val="000000"/>
          <w:spacing w:val="0"/>
          <w:sz w:val="31"/>
          <w:szCs w:val="31"/>
          <w:shd w:val="clear" w:color="auto" w:fill="auto"/>
        </w:rPr>
        <w:t>万元，卫生健康支出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118.46</w:t>
      </w:r>
      <w:r>
        <w:rPr>
          <w:rFonts w:hint="eastAsia" w:ascii="仿宋_GB2312" w:hAnsi="微软雅黑" w:eastAsia="仿宋_GB2312" w:cs="仿宋_GB2312"/>
          <w:b w:val="0"/>
          <w:i w:val="0"/>
          <w:caps w:val="0"/>
          <w:color w:val="000000"/>
          <w:spacing w:val="0"/>
          <w:sz w:val="31"/>
          <w:szCs w:val="31"/>
          <w:shd w:val="clear" w:color="auto" w:fill="auto"/>
        </w:rPr>
        <w:t>万元，住房保障支出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122.1</w:t>
      </w:r>
      <w:r>
        <w:rPr>
          <w:rFonts w:hint="eastAsia" w:ascii="仿宋_GB2312" w:hAnsi="微软雅黑" w:eastAsia="仿宋_GB2312" w:cs="仿宋_GB2312"/>
          <w:b w:val="0"/>
          <w:i w:val="0"/>
          <w:caps w:val="0"/>
          <w:color w:val="000000"/>
          <w:spacing w:val="0"/>
          <w:sz w:val="31"/>
          <w:szCs w:val="31"/>
          <w:shd w:val="clear" w:color="auto" w:fill="auto"/>
        </w:rPr>
        <w:t>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五、一般公共预算支出情况说明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2021年部门一般公共预算拨款支出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3123.26</w:t>
      </w:r>
      <w:r>
        <w:rPr>
          <w:rFonts w:hint="eastAsia" w:ascii="仿宋_GB2312" w:hAnsi="微软雅黑" w:eastAsia="仿宋_GB2312" w:cs="仿宋_GB2312"/>
          <w:b w:val="0"/>
          <w:i w:val="0"/>
          <w:caps w:val="0"/>
          <w:color w:val="000000"/>
          <w:spacing w:val="0"/>
          <w:sz w:val="31"/>
          <w:szCs w:val="31"/>
          <w:shd w:val="clear" w:color="auto" w:fill="auto"/>
        </w:rPr>
        <w:t>万元，其中：基本支出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1846.26</w:t>
      </w:r>
      <w:r>
        <w:rPr>
          <w:rFonts w:hint="eastAsia" w:ascii="仿宋_GB2312" w:hAnsi="微软雅黑" w:eastAsia="仿宋_GB2312" w:cs="仿宋_GB2312"/>
          <w:b w:val="0"/>
          <w:i w:val="0"/>
          <w:caps w:val="0"/>
          <w:color w:val="000000"/>
          <w:spacing w:val="0"/>
          <w:sz w:val="31"/>
          <w:szCs w:val="31"/>
          <w:shd w:val="clear" w:color="auto" w:fill="auto"/>
        </w:rPr>
        <w:t>万元，项目支出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1277</w:t>
      </w:r>
      <w:r>
        <w:rPr>
          <w:rFonts w:hint="eastAsia" w:ascii="仿宋_GB2312" w:hAnsi="微软雅黑" w:eastAsia="仿宋_GB2312" w:cs="仿宋_GB2312"/>
          <w:b w:val="0"/>
          <w:i w:val="0"/>
          <w:caps w:val="0"/>
          <w:color w:val="000000"/>
          <w:spacing w:val="0"/>
          <w:sz w:val="31"/>
          <w:szCs w:val="31"/>
          <w:shd w:val="clear" w:color="auto" w:fill="auto"/>
        </w:rPr>
        <w:t>万元，具体支出预算如下：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（一）行政运行（法院）</w:t>
      </w:r>
      <w:r>
        <w:rPr>
          <w:rFonts w:hint="eastAsia" w:ascii="仿宋_GB2312" w:hAnsi="微软雅黑" w:eastAsia="仿宋_GB2312" w:cs="仿宋_GB2312"/>
          <w:b w:val="0"/>
          <w:i w:val="0"/>
          <w:caps w:val="0"/>
          <w:color w:val="000000"/>
          <w:spacing w:val="0"/>
          <w:sz w:val="31"/>
          <w:szCs w:val="31"/>
          <w:shd w:val="clear" w:color="auto" w:fill="auto"/>
          <w:lang w:val="en-US" w:eastAsia="zh-CN"/>
        </w:rPr>
        <w:t>1351.5</w:t>
      </w:r>
      <w:r>
        <w:rPr>
          <w:rFonts w:hint="eastAsia" w:ascii="仿宋_GB2312" w:hAnsi="微软雅黑" w:eastAsia="仿宋_GB2312" w:cs="仿宋_GB2312"/>
          <w:b w:val="0"/>
          <w:i w:val="0"/>
          <w:caps w:val="0"/>
          <w:color w:val="000000"/>
          <w:spacing w:val="0"/>
          <w:sz w:val="31"/>
          <w:szCs w:val="31"/>
          <w:shd w:val="clear" w:color="auto" w:fill="auto"/>
        </w:rPr>
        <w:t>万元，全部为基本支出。主要用于为保证法院日常运转而发生的人员经费支出和日常公用经费支出等。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（二）一般行政管理事务（法院）</w:t>
      </w:r>
      <w:r>
        <w:rPr>
          <w:rFonts w:hint="eastAsia" w:ascii="仿宋_GB2312" w:hAnsi="微软雅黑" w:eastAsia="仿宋_GB2312" w:cs="仿宋_GB2312"/>
          <w:b w:val="0"/>
          <w:i w:val="0"/>
          <w:caps w:val="0"/>
          <w:color w:val="000000"/>
          <w:spacing w:val="0"/>
          <w:sz w:val="31"/>
          <w:szCs w:val="31"/>
          <w:shd w:val="clear" w:color="auto" w:fill="auto"/>
          <w:lang w:val="en-US" w:eastAsia="zh-CN"/>
        </w:rPr>
        <w:t>22.51</w:t>
      </w:r>
      <w:r>
        <w:rPr>
          <w:rFonts w:hint="eastAsia" w:ascii="仿宋_GB2312" w:hAnsi="微软雅黑" w:eastAsia="仿宋_GB2312" w:cs="仿宋_GB2312"/>
          <w:b w:val="0"/>
          <w:i w:val="0"/>
          <w:caps w:val="0"/>
          <w:color w:val="000000"/>
          <w:spacing w:val="0"/>
          <w:sz w:val="31"/>
          <w:szCs w:val="31"/>
          <w:shd w:val="clear" w:color="auto" w:fill="auto"/>
        </w:rPr>
        <w:t>万元，全部为项目支出。主要用于法院其他项目支出。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（三）案件审判</w:t>
      </w:r>
      <w:r>
        <w:rPr>
          <w:rFonts w:hint="eastAsia" w:ascii="仿宋_GB2312" w:hAnsi="微软雅黑" w:eastAsia="仿宋_GB2312" w:cs="仿宋_GB2312"/>
          <w:b w:val="0"/>
          <w:i w:val="0"/>
          <w:caps w:val="0"/>
          <w:color w:val="000000"/>
          <w:spacing w:val="0"/>
          <w:sz w:val="31"/>
          <w:szCs w:val="31"/>
          <w:shd w:val="clear" w:color="auto" w:fill="auto"/>
          <w:lang w:val="en-US" w:eastAsia="zh-CN"/>
        </w:rPr>
        <w:t>23</w:t>
      </w:r>
      <w:r>
        <w:rPr>
          <w:rFonts w:hint="eastAsia" w:ascii="仿宋_GB2312" w:hAnsi="微软雅黑" w:eastAsia="仿宋_GB2312" w:cs="仿宋_GB2312"/>
          <w:b w:val="0"/>
          <w:i w:val="0"/>
          <w:caps w:val="0"/>
          <w:color w:val="000000"/>
          <w:spacing w:val="0"/>
          <w:sz w:val="31"/>
          <w:szCs w:val="31"/>
          <w:shd w:val="clear" w:color="auto" w:fill="auto"/>
        </w:rPr>
        <w:t>万元，全部为项目支出。主要用于法院为完成各项审判工作任务而发生的办案业务支出等。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（四）案件执行</w:t>
      </w:r>
      <w:r>
        <w:rPr>
          <w:rFonts w:hint="eastAsia" w:ascii="仿宋_GB2312" w:hAnsi="微软雅黑" w:eastAsia="仿宋_GB2312" w:cs="仿宋_GB2312"/>
          <w:b w:val="0"/>
          <w:i w:val="0"/>
          <w:caps w:val="0"/>
          <w:color w:val="000000"/>
          <w:spacing w:val="0"/>
          <w:sz w:val="31"/>
          <w:szCs w:val="31"/>
          <w:shd w:val="clear" w:color="auto" w:fill="auto"/>
          <w:lang w:val="en-US" w:eastAsia="zh-CN"/>
        </w:rPr>
        <w:t>54.82</w:t>
      </w:r>
      <w:r>
        <w:rPr>
          <w:rFonts w:hint="eastAsia" w:ascii="仿宋_GB2312" w:hAnsi="微软雅黑" w:eastAsia="仿宋_GB2312" w:cs="仿宋_GB2312"/>
          <w:b w:val="0"/>
          <w:i w:val="0"/>
          <w:caps w:val="0"/>
          <w:color w:val="000000"/>
          <w:spacing w:val="0"/>
          <w:sz w:val="31"/>
          <w:szCs w:val="31"/>
          <w:shd w:val="clear" w:color="auto" w:fill="auto"/>
        </w:rPr>
        <w:t>万元，全部为项目支出。主要用于法院为完成各项执行工作任务而发生的办案业务支出等。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（五）“两庭”建设</w:t>
      </w:r>
      <w:r>
        <w:rPr>
          <w:rFonts w:hint="eastAsia" w:ascii="仿宋_GB2312" w:hAnsi="微软雅黑" w:eastAsia="仿宋_GB2312" w:cs="仿宋_GB2312"/>
          <w:b w:val="0"/>
          <w:i w:val="0"/>
          <w:caps w:val="0"/>
          <w:color w:val="000000"/>
          <w:spacing w:val="0"/>
          <w:sz w:val="31"/>
          <w:szCs w:val="31"/>
          <w:shd w:val="clear" w:color="auto" w:fill="auto"/>
          <w:lang w:val="en-US" w:eastAsia="zh-CN"/>
        </w:rPr>
        <w:t>55.67</w:t>
      </w:r>
      <w:r>
        <w:rPr>
          <w:rFonts w:hint="eastAsia" w:ascii="仿宋_GB2312" w:hAnsi="微软雅黑" w:eastAsia="仿宋_GB2312" w:cs="仿宋_GB2312"/>
          <w:b w:val="0"/>
          <w:i w:val="0"/>
          <w:caps w:val="0"/>
          <w:color w:val="000000"/>
          <w:spacing w:val="0"/>
          <w:sz w:val="31"/>
          <w:szCs w:val="31"/>
          <w:shd w:val="clear" w:color="auto" w:fill="auto"/>
        </w:rPr>
        <w:t>万元，全部为项目支出。主要用于人民法院审判用房、人民法庭用房建设维修和设备购置等支出。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（六）其他法院支出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1121</w:t>
      </w:r>
      <w:r>
        <w:rPr>
          <w:rFonts w:hint="eastAsia" w:ascii="仿宋_GB2312" w:hAnsi="微软雅黑" w:eastAsia="仿宋_GB2312" w:cs="仿宋_GB2312"/>
          <w:b w:val="0"/>
          <w:i w:val="0"/>
          <w:caps w:val="0"/>
          <w:color w:val="000000"/>
          <w:spacing w:val="0"/>
          <w:sz w:val="31"/>
          <w:szCs w:val="31"/>
          <w:shd w:val="clear" w:color="auto" w:fill="auto"/>
        </w:rPr>
        <w:t>万元，全部为项目支出。主要用于为完成其他各项法院方面工作任务而发生的办案业务支出等。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（七）行政单位离退休</w:t>
      </w:r>
      <w:r>
        <w:rPr>
          <w:rFonts w:hint="eastAsia" w:ascii="仿宋_GB2312" w:hAnsi="微软雅黑" w:eastAsia="仿宋_GB2312" w:cs="仿宋_GB2312"/>
          <w:b w:val="0"/>
          <w:i w:val="0"/>
          <w:caps w:val="0"/>
          <w:color w:val="000000"/>
          <w:spacing w:val="0"/>
          <w:sz w:val="31"/>
          <w:szCs w:val="31"/>
          <w:shd w:val="clear" w:color="auto" w:fill="auto"/>
          <w:lang w:val="en-US" w:eastAsia="zh-CN"/>
        </w:rPr>
        <w:t>10.01</w:t>
      </w:r>
      <w:r>
        <w:rPr>
          <w:rFonts w:hint="eastAsia" w:ascii="仿宋_GB2312" w:hAnsi="微软雅黑" w:eastAsia="仿宋_GB2312" w:cs="仿宋_GB2312"/>
          <w:b w:val="0"/>
          <w:i w:val="0"/>
          <w:caps w:val="0"/>
          <w:color w:val="000000"/>
          <w:spacing w:val="0"/>
          <w:sz w:val="31"/>
          <w:szCs w:val="31"/>
          <w:shd w:val="clear" w:color="auto" w:fill="auto"/>
        </w:rPr>
        <w:t>万元，全部为基本支出。主要用于法院离退休人员费用支出。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（八）机关事业单位基本养老保险缴费支出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162.8</w:t>
      </w:r>
      <w:r>
        <w:rPr>
          <w:rFonts w:hint="eastAsia" w:ascii="仿宋_GB2312" w:hAnsi="微软雅黑" w:eastAsia="仿宋_GB2312" w:cs="仿宋_GB2312"/>
          <w:b w:val="0"/>
          <w:i w:val="0"/>
          <w:caps w:val="0"/>
          <w:color w:val="000000"/>
          <w:spacing w:val="0"/>
          <w:sz w:val="31"/>
          <w:szCs w:val="31"/>
          <w:shd w:val="clear" w:color="auto" w:fill="auto"/>
        </w:rPr>
        <w:t>万元，全部为基本支出。主要用于支付根据市统一规定，按柳州市法院在职职工工资总额的一定比例计缴的基本养老保险费。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（九）机关事业单位职业年金缴费支出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81.4</w:t>
      </w:r>
      <w:r>
        <w:rPr>
          <w:rFonts w:hint="eastAsia" w:ascii="仿宋_GB2312" w:hAnsi="微软雅黑" w:eastAsia="仿宋_GB2312" w:cs="仿宋_GB2312"/>
          <w:b w:val="0"/>
          <w:i w:val="0"/>
          <w:caps w:val="0"/>
          <w:color w:val="000000"/>
          <w:spacing w:val="0"/>
          <w:sz w:val="31"/>
          <w:szCs w:val="31"/>
          <w:shd w:val="clear" w:color="auto" w:fill="auto"/>
        </w:rPr>
        <w:t>万元，全部为基本支出。主要用于支付根据市统一规定，按柳州市法院在职职工工资总额的一定比例计缴的职业年金费用。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（十）行政单位医疗</w:t>
      </w:r>
      <w:r>
        <w:rPr>
          <w:rFonts w:hint="eastAsia" w:ascii="仿宋_GB2312" w:hAnsi="微软雅黑" w:eastAsia="仿宋_GB2312" w:cs="仿宋_GB2312"/>
          <w:b w:val="0"/>
          <w:i w:val="0"/>
          <w:caps w:val="0"/>
          <w:color w:val="000000"/>
          <w:spacing w:val="0"/>
          <w:sz w:val="31"/>
          <w:szCs w:val="31"/>
          <w:shd w:val="clear" w:color="auto" w:fill="auto"/>
          <w:lang w:val="en-US" w:eastAsia="zh-CN"/>
        </w:rPr>
        <w:t>79.36</w:t>
      </w:r>
      <w:r>
        <w:rPr>
          <w:rFonts w:hint="eastAsia" w:ascii="仿宋_GB2312" w:hAnsi="微软雅黑" w:eastAsia="仿宋_GB2312" w:cs="仿宋_GB2312"/>
          <w:b w:val="0"/>
          <w:i w:val="0"/>
          <w:caps w:val="0"/>
          <w:color w:val="000000"/>
          <w:spacing w:val="0"/>
          <w:sz w:val="31"/>
          <w:szCs w:val="31"/>
          <w:shd w:val="clear" w:color="auto" w:fill="auto"/>
        </w:rPr>
        <w:t>万元，全部为基本支出。主要用于支付根据市统一规定，按柳州市法院在职职工工资总额的一定比例计缴的医疗保险。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（十</w:t>
      </w:r>
      <w:r>
        <w:rPr>
          <w:rFonts w:hint="eastAsia" w:ascii="仿宋_GB2312" w:hAnsi="微软雅黑" w:eastAsia="仿宋_GB2312" w:cs="仿宋_GB2312"/>
          <w:b w:val="0"/>
          <w:i w:val="0"/>
          <w:caps w:val="0"/>
          <w:color w:val="000000"/>
          <w:spacing w:val="0"/>
          <w:sz w:val="31"/>
          <w:szCs w:val="31"/>
          <w:shd w:val="clear" w:color="auto" w:fill="auto"/>
          <w:lang w:eastAsia="zh-CN"/>
        </w:rPr>
        <w:t>一</w:t>
      </w:r>
      <w:r>
        <w:rPr>
          <w:rFonts w:hint="eastAsia" w:ascii="仿宋_GB2312" w:hAnsi="微软雅黑" w:eastAsia="仿宋_GB2312" w:cs="仿宋_GB2312"/>
          <w:b w:val="0"/>
          <w:i w:val="0"/>
          <w:caps w:val="0"/>
          <w:color w:val="000000"/>
          <w:spacing w:val="0"/>
          <w:sz w:val="31"/>
          <w:szCs w:val="31"/>
          <w:shd w:val="clear" w:color="auto" w:fill="auto"/>
        </w:rPr>
        <w:t>）公务员医疗补助</w:t>
      </w:r>
      <w:r>
        <w:rPr>
          <w:rFonts w:hint="eastAsia" w:ascii="仿宋_GB2312" w:hAnsi="微软雅黑" w:eastAsia="仿宋_GB2312" w:cs="仿宋_GB2312"/>
          <w:b w:val="0"/>
          <w:i w:val="0"/>
          <w:caps w:val="0"/>
          <w:color w:val="000000"/>
          <w:spacing w:val="0"/>
          <w:sz w:val="31"/>
          <w:szCs w:val="31"/>
          <w:shd w:val="clear" w:color="auto" w:fill="auto"/>
          <w:lang w:val="en-US" w:eastAsia="zh-CN"/>
        </w:rPr>
        <w:t>39.1</w:t>
      </w:r>
      <w:r>
        <w:rPr>
          <w:rFonts w:hint="eastAsia" w:ascii="仿宋_GB2312" w:hAnsi="微软雅黑" w:eastAsia="仿宋_GB2312" w:cs="仿宋_GB2312"/>
          <w:b w:val="0"/>
          <w:i w:val="0"/>
          <w:caps w:val="0"/>
          <w:color w:val="000000"/>
          <w:spacing w:val="0"/>
          <w:sz w:val="31"/>
          <w:szCs w:val="31"/>
          <w:shd w:val="clear" w:color="auto" w:fill="auto"/>
        </w:rPr>
        <w:t>万元，全部为基本支出。主要用于支付根据市统一规定，按柳州市法院在职职工工资总额的一定比例计缴的公务员医疗补助。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（十</w:t>
      </w:r>
      <w:r>
        <w:rPr>
          <w:rFonts w:hint="eastAsia" w:ascii="仿宋_GB2312" w:hAnsi="微软雅黑" w:eastAsia="仿宋_GB2312" w:cs="仿宋_GB2312"/>
          <w:b w:val="0"/>
          <w:i w:val="0"/>
          <w:caps w:val="0"/>
          <w:color w:val="000000"/>
          <w:spacing w:val="0"/>
          <w:sz w:val="31"/>
          <w:szCs w:val="31"/>
          <w:shd w:val="clear" w:color="auto" w:fill="auto"/>
          <w:lang w:eastAsia="zh-CN"/>
        </w:rPr>
        <w:t>二</w:t>
      </w:r>
      <w:r>
        <w:rPr>
          <w:rFonts w:hint="eastAsia" w:ascii="仿宋_GB2312" w:hAnsi="微软雅黑" w:eastAsia="仿宋_GB2312" w:cs="仿宋_GB2312"/>
          <w:b w:val="0"/>
          <w:i w:val="0"/>
          <w:caps w:val="0"/>
          <w:color w:val="000000"/>
          <w:spacing w:val="0"/>
          <w:sz w:val="31"/>
          <w:szCs w:val="31"/>
          <w:shd w:val="clear" w:color="auto" w:fill="auto"/>
        </w:rPr>
        <w:t>）住房公积金</w:t>
      </w:r>
      <w:r>
        <w:rPr>
          <w:rFonts w:hint="eastAsia" w:ascii="仿宋_GB2312" w:hAnsi="微软雅黑" w:eastAsia="仿宋_GB2312" w:cs="仿宋_GB2312"/>
          <w:b w:val="0"/>
          <w:i w:val="0"/>
          <w:caps w:val="0"/>
          <w:color w:val="000000"/>
          <w:spacing w:val="0"/>
          <w:sz w:val="31"/>
          <w:szCs w:val="31"/>
          <w:shd w:val="clear" w:color="auto" w:fill="auto"/>
          <w:lang w:val="en-US" w:eastAsia="zh-CN"/>
        </w:rPr>
        <w:t>122.1</w:t>
      </w:r>
      <w:r>
        <w:rPr>
          <w:rFonts w:hint="eastAsia" w:ascii="仿宋_GB2312" w:hAnsi="微软雅黑" w:eastAsia="仿宋_GB2312" w:cs="仿宋_GB2312"/>
          <w:b w:val="0"/>
          <w:i w:val="0"/>
          <w:caps w:val="0"/>
          <w:color w:val="000000"/>
          <w:spacing w:val="0"/>
          <w:sz w:val="31"/>
          <w:szCs w:val="31"/>
          <w:shd w:val="clear" w:color="auto" w:fill="auto"/>
        </w:rPr>
        <w:t>万元，全部为基本支出。主要用于按照国家政策规定为法院职工计缴的住房公积金支出。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六、一般公共预算基本支出情况说明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2021年部门一般公共预算基本支出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1846.26</w:t>
      </w:r>
      <w:r>
        <w:rPr>
          <w:rFonts w:hint="eastAsia" w:ascii="仿宋_GB2312" w:hAnsi="微软雅黑" w:eastAsia="仿宋_GB2312" w:cs="仿宋_GB2312"/>
          <w:b w:val="0"/>
          <w:i w:val="0"/>
          <w:caps w:val="0"/>
          <w:color w:val="000000"/>
          <w:spacing w:val="0"/>
          <w:sz w:val="31"/>
          <w:szCs w:val="31"/>
          <w:shd w:val="clear" w:color="auto" w:fill="auto"/>
        </w:rPr>
        <w:t>万元，其中：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（一）人员经费</w:t>
      </w:r>
      <w:r>
        <w:rPr>
          <w:rFonts w:hint="eastAsia" w:ascii="仿宋_GB2312" w:hAnsi="微软雅黑" w:eastAsia="仿宋_GB2312" w:cs="仿宋_GB2312"/>
          <w:b w:val="0"/>
          <w:i w:val="0"/>
          <w:caps w:val="0"/>
          <w:color w:val="000000"/>
          <w:spacing w:val="0"/>
          <w:sz w:val="31"/>
          <w:szCs w:val="31"/>
          <w:shd w:val="clear" w:color="auto" w:fill="auto"/>
          <w:lang w:val="en-US" w:eastAsia="zh-CN"/>
        </w:rPr>
        <w:t>1530.14</w:t>
      </w:r>
      <w:r>
        <w:rPr>
          <w:rFonts w:hint="eastAsia" w:ascii="仿宋_GB2312" w:hAnsi="微软雅黑" w:eastAsia="仿宋_GB2312" w:cs="仿宋_GB2312"/>
          <w:b w:val="0"/>
          <w:i w:val="0"/>
          <w:caps w:val="0"/>
          <w:color w:val="000000"/>
          <w:spacing w:val="0"/>
          <w:sz w:val="31"/>
          <w:szCs w:val="31"/>
          <w:shd w:val="clear" w:color="auto" w:fill="auto"/>
        </w:rPr>
        <w:t>万元，主要包括：基本工资、津贴补贴、奖金、机关事业单位基本养老保险缴费、职业年金缴费、职工基本医疗保险缴费、公务员医疗补助缴费、其他社会保障缴费、住房公积金、离休费、退休费、生活补助和医疗费补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（二）公用经费</w:t>
      </w:r>
      <w:r>
        <w:rPr>
          <w:rFonts w:hint="eastAsia" w:ascii="仿宋_GB2312" w:hAnsi="微软雅黑" w:eastAsia="仿宋_GB2312" w:cs="仿宋_GB2312"/>
          <w:b w:val="0"/>
          <w:i w:val="0"/>
          <w:caps w:val="0"/>
          <w:color w:val="000000"/>
          <w:spacing w:val="0"/>
          <w:sz w:val="31"/>
          <w:szCs w:val="31"/>
          <w:shd w:val="clear" w:color="auto" w:fill="auto"/>
          <w:lang w:val="en-US" w:eastAsia="zh-CN"/>
        </w:rPr>
        <w:t>316.13</w:t>
      </w:r>
      <w:r>
        <w:rPr>
          <w:rFonts w:hint="eastAsia" w:ascii="仿宋_GB2312" w:hAnsi="微软雅黑" w:eastAsia="仿宋_GB2312" w:cs="仿宋_GB2312"/>
          <w:b w:val="0"/>
          <w:i w:val="0"/>
          <w:caps w:val="0"/>
          <w:color w:val="000000"/>
          <w:spacing w:val="0"/>
          <w:sz w:val="31"/>
          <w:szCs w:val="31"/>
          <w:shd w:val="clear" w:color="auto" w:fill="auto"/>
        </w:rPr>
        <w:t>万元，主要包括：办公费、印刷费、水费、电费、邮电费、物业管理费、差旅费、维修(护)费、会议费、培训费、公务接待费、工会经费、公务用车运行维护费、其他交通费用以及其他商品和服务支出。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七、一般公共预算“三公”经费情况说明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2021年一般公共预算安排的“三公”经费支出预算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4.55</w:t>
      </w:r>
      <w:r>
        <w:rPr>
          <w:rFonts w:hint="eastAsia" w:ascii="仿宋_GB2312" w:hAnsi="微软雅黑" w:eastAsia="仿宋_GB2312" w:cs="仿宋_GB2312"/>
          <w:b w:val="0"/>
          <w:i w:val="0"/>
          <w:caps w:val="0"/>
          <w:color w:val="000000"/>
          <w:spacing w:val="0"/>
          <w:sz w:val="31"/>
          <w:szCs w:val="31"/>
          <w:shd w:val="clear" w:color="auto" w:fill="auto"/>
        </w:rPr>
        <w:t>万元，比2020 年（上一年）预算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4.5</w:t>
      </w:r>
      <w:r>
        <w:rPr>
          <w:rFonts w:hint="eastAsia" w:ascii="仿宋_GB2312" w:hAnsi="微软雅黑" w:eastAsia="仿宋_GB2312" w:cs="仿宋_GB2312"/>
          <w:b w:val="0"/>
          <w:i w:val="0"/>
          <w:caps w:val="0"/>
          <w:color w:val="000000"/>
          <w:spacing w:val="0"/>
          <w:sz w:val="31"/>
          <w:szCs w:val="31"/>
          <w:shd w:val="clear" w:color="auto" w:fill="auto"/>
        </w:rPr>
        <w:t>万元，同比增加</w:t>
      </w:r>
      <w:r>
        <w:rPr>
          <w:rFonts w:hint="eastAsia" w:ascii="仿宋_GB2312" w:hAnsi="微软雅黑" w:eastAsia="仿宋_GB2312" w:cs="仿宋_GB2312"/>
          <w:b w:val="0"/>
          <w:i w:val="0"/>
          <w:caps w:val="0"/>
          <w:color w:val="000000"/>
          <w:spacing w:val="0"/>
          <w:sz w:val="31"/>
          <w:szCs w:val="31"/>
          <w:shd w:val="clear" w:color="auto" w:fill="auto"/>
          <w:lang w:val="en-US" w:eastAsia="zh-CN"/>
        </w:rPr>
        <w:t>0.05</w:t>
      </w:r>
      <w:r>
        <w:rPr>
          <w:rFonts w:hint="eastAsia" w:ascii="仿宋_GB2312" w:hAnsi="微软雅黑" w:eastAsia="仿宋_GB2312" w:cs="仿宋_GB2312"/>
          <w:b w:val="0"/>
          <w:i w:val="0"/>
          <w:caps w:val="0"/>
          <w:color w:val="000000"/>
          <w:spacing w:val="0"/>
          <w:sz w:val="31"/>
          <w:szCs w:val="31"/>
          <w:shd w:val="clear" w:color="auto" w:fill="auto"/>
        </w:rPr>
        <w:t>万元，同比增长</w:t>
      </w:r>
      <w:r>
        <w:rPr>
          <w:rFonts w:hint="eastAsia" w:ascii="仿宋_GB2312" w:hAnsi="微软雅黑" w:eastAsia="仿宋_GB2312" w:cs="仿宋_GB2312"/>
          <w:b w:val="0"/>
          <w:i w:val="0"/>
          <w:caps w:val="0"/>
          <w:color w:val="000000"/>
          <w:spacing w:val="0"/>
          <w:sz w:val="31"/>
          <w:szCs w:val="31"/>
          <w:shd w:val="clear" w:color="auto" w:fill="auto"/>
          <w:lang w:val="en-US" w:eastAsia="zh-CN"/>
        </w:rPr>
        <w:t>1.1</w:t>
      </w:r>
      <w:r>
        <w:rPr>
          <w:rFonts w:hint="eastAsia" w:ascii="仿宋_GB2312" w:hAnsi="微软雅黑" w:eastAsia="仿宋_GB2312" w:cs="仿宋_GB2312"/>
          <w:b w:val="0"/>
          <w:i w:val="0"/>
          <w:caps w:val="0"/>
          <w:color w:val="000000"/>
          <w:spacing w:val="0"/>
          <w:sz w:val="31"/>
          <w:szCs w:val="31"/>
          <w:shd w:val="clear" w:color="auto" w:fill="auto"/>
        </w:rPr>
        <w:t>%。其中：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（一）因公出国（境）经费2021年预算0万元，同比上年持平。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（二）公务接待费2021年预算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4.55</w:t>
      </w:r>
      <w:r>
        <w:rPr>
          <w:rFonts w:hint="eastAsia" w:ascii="仿宋_GB2312" w:hAnsi="微软雅黑" w:eastAsia="仿宋_GB2312" w:cs="仿宋_GB2312"/>
          <w:b w:val="0"/>
          <w:i w:val="0"/>
          <w:caps w:val="0"/>
          <w:color w:val="000000"/>
          <w:spacing w:val="0"/>
          <w:sz w:val="31"/>
          <w:szCs w:val="31"/>
          <w:shd w:val="clear" w:color="auto" w:fill="auto"/>
        </w:rPr>
        <w:t>万元，同比增加</w:t>
      </w:r>
      <w:r>
        <w:rPr>
          <w:rFonts w:hint="eastAsia" w:ascii="仿宋_GB2312" w:hAnsi="微软雅黑" w:eastAsia="仿宋_GB2312" w:cs="仿宋_GB2312"/>
          <w:b w:val="0"/>
          <w:i w:val="0"/>
          <w:caps w:val="0"/>
          <w:color w:val="000000"/>
          <w:spacing w:val="0"/>
          <w:sz w:val="31"/>
          <w:szCs w:val="31"/>
          <w:shd w:val="clear" w:color="auto" w:fill="auto"/>
          <w:lang w:val="en-US" w:eastAsia="zh-CN"/>
        </w:rPr>
        <w:t>0.05</w:t>
      </w:r>
      <w:r>
        <w:rPr>
          <w:rFonts w:hint="eastAsia" w:ascii="仿宋_GB2312" w:hAnsi="微软雅黑" w:eastAsia="仿宋_GB2312" w:cs="仿宋_GB2312"/>
          <w:b w:val="0"/>
          <w:i w:val="0"/>
          <w:caps w:val="0"/>
          <w:color w:val="000000"/>
          <w:spacing w:val="0"/>
          <w:sz w:val="31"/>
          <w:szCs w:val="31"/>
          <w:shd w:val="clear" w:color="auto" w:fill="auto"/>
        </w:rPr>
        <w:t>万元，同比增长</w:t>
      </w:r>
      <w:r>
        <w:rPr>
          <w:rFonts w:hint="eastAsia" w:ascii="仿宋_GB2312" w:hAnsi="微软雅黑" w:eastAsia="仿宋_GB2312" w:cs="仿宋_GB2312"/>
          <w:b w:val="0"/>
          <w:i w:val="0"/>
          <w:caps w:val="0"/>
          <w:color w:val="000000"/>
          <w:spacing w:val="0"/>
          <w:sz w:val="31"/>
          <w:szCs w:val="31"/>
          <w:shd w:val="clear" w:color="auto" w:fill="auto"/>
          <w:lang w:val="en-US" w:eastAsia="zh-CN"/>
        </w:rPr>
        <w:t>1.1</w:t>
      </w:r>
      <w:r>
        <w:rPr>
          <w:rFonts w:hint="eastAsia" w:ascii="仿宋_GB2312" w:hAnsi="微软雅黑" w:eastAsia="仿宋_GB2312" w:cs="仿宋_GB2312"/>
          <w:b w:val="0"/>
          <w:i w:val="0"/>
          <w:caps w:val="0"/>
          <w:color w:val="000000"/>
          <w:spacing w:val="0"/>
          <w:sz w:val="31"/>
          <w:szCs w:val="31"/>
          <w:shd w:val="clear" w:color="auto" w:fill="auto"/>
        </w:rPr>
        <w:t>%，主要用于接待上级部门及各地法院来我市（含县区）参加各类会议、重大活动和调研考察活动的接待费用以及开展业务需要开支出的公务接待费。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仿宋_GB2312" w:cs="微软雅黑"/>
          <w:b w:val="0"/>
          <w:i w:val="0"/>
          <w:caps w:val="0"/>
          <w:color w:val="000000"/>
          <w:spacing w:val="0"/>
          <w:sz w:val="24"/>
          <w:szCs w:val="24"/>
          <w:shd w:val="clear" w:color="auto" w:fill="auto"/>
          <w:lang w:eastAsia="zh-CN"/>
        </w:rPr>
      </w:pPr>
      <w:r>
        <w:rPr>
          <w:rFonts w:hint="eastAsia" w:ascii="仿宋_GB2312" w:hAnsi="微软雅黑" w:eastAsia="仿宋_GB2312" w:cs="仿宋_GB2312"/>
          <w:b w:val="0"/>
          <w:i w:val="0"/>
          <w:caps w:val="0"/>
          <w:color w:val="000000"/>
          <w:spacing w:val="0"/>
          <w:sz w:val="31"/>
          <w:szCs w:val="31"/>
          <w:shd w:val="clear" w:color="auto" w:fill="auto"/>
        </w:rPr>
        <w:t>（三）公务用车购置及运行费2021年预算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0</w:t>
      </w:r>
      <w:r>
        <w:rPr>
          <w:rFonts w:hint="eastAsia" w:ascii="仿宋_GB2312" w:hAnsi="微软雅黑" w:eastAsia="仿宋_GB2312" w:cs="仿宋_GB2312"/>
          <w:b w:val="0"/>
          <w:i w:val="0"/>
          <w:caps w:val="0"/>
          <w:color w:val="000000"/>
          <w:spacing w:val="0"/>
          <w:sz w:val="31"/>
          <w:szCs w:val="31"/>
          <w:shd w:val="clear" w:color="auto" w:fill="auto"/>
        </w:rPr>
        <w:t>万元，同比上年持平</w:t>
      </w:r>
      <w:r>
        <w:rPr>
          <w:rFonts w:hint="eastAsia" w:ascii="仿宋_GB2312" w:hAnsi="微软雅黑" w:eastAsia="仿宋_GB2312" w:cs="仿宋_GB2312"/>
          <w:b w:val="0"/>
          <w:i w:val="0"/>
          <w:caps w:val="0"/>
          <w:color w:val="000000"/>
          <w:spacing w:val="0"/>
          <w:sz w:val="31"/>
          <w:szCs w:val="31"/>
          <w:shd w:val="clear" w:color="auto" w:fill="auto"/>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八、政府性基金预算情况说明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2021年本部门无政府性基金预算支出安排。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九、国有资本经营预算情况说明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2021年本部门无国有资本经营预算支出安排。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十、政府采购预算情况说明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2021年政府采购预算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72.86</w:t>
      </w:r>
      <w:r>
        <w:rPr>
          <w:rFonts w:hint="eastAsia" w:ascii="仿宋_GB2312" w:hAnsi="微软雅黑" w:eastAsia="仿宋_GB2312" w:cs="仿宋_GB2312"/>
          <w:b w:val="0"/>
          <w:i w:val="0"/>
          <w:caps w:val="0"/>
          <w:color w:val="000000"/>
          <w:spacing w:val="0"/>
          <w:sz w:val="31"/>
          <w:szCs w:val="31"/>
          <w:shd w:val="clear" w:color="auto" w:fill="auto"/>
        </w:rPr>
        <w:t>万元</w:t>
      </w:r>
      <w:r>
        <w:rPr>
          <w:rFonts w:hint="eastAsia" w:ascii="仿宋_GB2312" w:hAnsi="微软雅黑" w:eastAsia="仿宋_GB2312" w:cs="仿宋_GB2312"/>
          <w:b w:val="0"/>
          <w:i w:val="0"/>
          <w:caps w:val="0"/>
          <w:color w:val="000000"/>
          <w:spacing w:val="0"/>
          <w:sz w:val="31"/>
          <w:szCs w:val="31"/>
          <w:shd w:val="clear" w:color="auto" w:fill="auto"/>
          <w:lang w:eastAsia="zh-CN"/>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72.86</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（一）按政府采购项目类型划分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仿宋_GB2312" w:hAnsi="宋体" w:eastAsia="仿宋_GB2312" w:cs="仿宋_GB2312"/>
          <w:b w:val="0"/>
          <w:i w:val="0"/>
          <w:caps w:val="0"/>
          <w:color w:val="000000"/>
          <w:spacing w:val="0"/>
          <w:sz w:val="31"/>
          <w:szCs w:val="31"/>
          <w:shd w:val="clear" w:fill="FFFFFF"/>
          <w:lang w:eastAsia="zh-CN"/>
        </w:rPr>
      </w:pPr>
      <w:r>
        <w:rPr>
          <w:rFonts w:hint="eastAsia" w:ascii="仿宋_GB2312" w:hAnsi="微软雅黑" w:eastAsia="仿宋_GB2312" w:cs="仿宋_GB2312"/>
          <w:b w:val="0"/>
          <w:i w:val="0"/>
          <w:caps w:val="0"/>
          <w:color w:val="000000"/>
          <w:spacing w:val="0"/>
          <w:sz w:val="31"/>
          <w:szCs w:val="31"/>
          <w:shd w:val="clear" w:color="auto" w:fill="auto"/>
        </w:rPr>
        <w:t>政府集中采购预算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72.86</w:t>
      </w:r>
      <w:r>
        <w:rPr>
          <w:rFonts w:hint="eastAsia" w:ascii="仿宋_GB2312" w:hAnsi="微软雅黑" w:eastAsia="仿宋_GB2312" w:cs="仿宋_GB2312"/>
          <w:b w:val="0"/>
          <w:i w:val="0"/>
          <w:caps w:val="0"/>
          <w:color w:val="000000"/>
          <w:spacing w:val="0"/>
          <w:sz w:val="31"/>
          <w:szCs w:val="31"/>
          <w:shd w:val="clear" w:color="auto" w:fill="auto"/>
        </w:rPr>
        <w:t>万元,占政府采购预算的</w:t>
      </w:r>
      <w:r>
        <w:rPr>
          <w:rFonts w:hint="eastAsia" w:ascii="仿宋_GB2312" w:hAnsi="微软雅黑" w:eastAsia="仿宋_GB2312" w:cs="仿宋_GB2312"/>
          <w:b w:val="0"/>
          <w:i w:val="0"/>
          <w:caps w:val="0"/>
          <w:color w:val="000000"/>
          <w:spacing w:val="0"/>
          <w:sz w:val="31"/>
          <w:szCs w:val="31"/>
          <w:shd w:val="clear" w:color="auto" w:fill="auto"/>
          <w:lang w:val="en-US" w:eastAsia="zh-CN"/>
        </w:rPr>
        <w:t>100</w:t>
      </w:r>
      <w:r>
        <w:rPr>
          <w:rFonts w:hint="eastAsia" w:ascii="仿宋_GB2312" w:hAnsi="微软雅黑" w:eastAsia="仿宋_GB2312" w:cs="仿宋_GB2312"/>
          <w:b w:val="0"/>
          <w:i w:val="0"/>
          <w:caps w:val="0"/>
          <w:color w:val="000000"/>
          <w:spacing w:val="0"/>
          <w:sz w:val="31"/>
          <w:szCs w:val="31"/>
          <w:shd w:val="clear" w:color="auto" w:fill="auto"/>
        </w:rPr>
        <w:t>%。</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72.86</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宋体" w:eastAsia="仿宋_GB2312" w:cs="仿宋_GB2312"/>
          <w:b w:val="0"/>
          <w:i w:val="0"/>
          <w:caps w:val="0"/>
          <w:color w:val="000000"/>
          <w:spacing w:val="0"/>
          <w:sz w:val="31"/>
          <w:szCs w:val="31"/>
          <w:shd w:val="clear" w:fill="FFFFFF"/>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分散采购预算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0</w:t>
      </w:r>
      <w:r>
        <w:rPr>
          <w:rFonts w:hint="eastAsia" w:ascii="仿宋_GB2312" w:hAnsi="微软雅黑" w:eastAsia="仿宋_GB2312" w:cs="仿宋_GB2312"/>
          <w:b w:val="0"/>
          <w:i w:val="0"/>
          <w:caps w:val="0"/>
          <w:color w:val="000000"/>
          <w:spacing w:val="0"/>
          <w:sz w:val="31"/>
          <w:szCs w:val="31"/>
          <w:shd w:val="clear" w:color="auto" w:fill="auto"/>
        </w:rPr>
        <w:t>万元，占政府采购预算的</w:t>
      </w:r>
      <w:r>
        <w:rPr>
          <w:rFonts w:hint="eastAsia" w:ascii="仿宋_GB2312" w:hAnsi="微软雅黑" w:eastAsia="仿宋_GB2312" w:cs="仿宋_GB2312"/>
          <w:b w:val="0"/>
          <w:i w:val="0"/>
          <w:caps w:val="0"/>
          <w:color w:val="000000"/>
          <w:spacing w:val="0"/>
          <w:sz w:val="31"/>
          <w:szCs w:val="31"/>
          <w:shd w:val="clear" w:color="auto" w:fill="auto"/>
          <w:lang w:val="en-US" w:eastAsia="zh-CN"/>
        </w:rPr>
        <w:t>0</w:t>
      </w:r>
      <w:r>
        <w:rPr>
          <w:rFonts w:hint="eastAsia" w:ascii="仿宋_GB2312" w:hAnsi="微软雅黑" w:eastAsia="仿宋_GB2312" w:cs="仿宋_GB2312"/>
          <w:b w:val="0"/>
          <w:i w:val="0"/>
          <w:caps w:val="0"/>
          <w:color w:val="000000"/>
          <w:spacing w:val="0"/>
          <w:sz w:val="31"/>
          <w:szCs w:val="31"/>
          <w:shd w:val="clear" w:color="auto" w:fill="auto"/>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（二）按政府采购资金来源划分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仿宋_GB2312" w:cs="微软雅黑"/>
          <w:b w:val="0"/>
          <w:i w:val="0"/>
          <w:caps w:val="0"/>
          <w:color w:val="000000"/>
          <w:spacing w:val="0"/>
          <w:sz w:val="24"/>
          <w:szCs w:val="24"/>
          <w:shd w:val="clear" w:color="auto" w:fill="auto"/>
          <w:lang w:val="en-US" w:eastAsia="zh-CN"/>
        </w:rPr>
      </w:pPr>
      <w:r>
        <w:rPr>
          <w:rFonts w:hint="eastAsia" w:ascii="仿宋_GB2312" w:hAnsi="微软雅黑" w:eastAsia="仿宋_GB2312" w:cs="仿宋_GB2312"/>
          <w:b w:val="0"/>
          <w:i w:val="0"/>
          <w:caps w:val="0"/>
          <w:color w:val="000000"/>
          <w:spacing w:val="0"/>
          <w:sz w:val="31"/>
          <w:szCs w:val="31"/>
          <w:shd w:val="clear" w:color="auto" w:fill="auto"/>
        </w:rPr>
        <w:t>通过一般公共预算安排采购支出预算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72.86</w:t>
      </w:r>
      <w:r>
        <w:rPr>
          <w:rFonts w:hint="eastAsia" w:ascii="仿宋_GB2312" w:hAnsi="微软雅黑" w:eastAsia="仿宋_GB2312" w:cs="仿宋_GB2312"/>
          <w:b w:val="0"/>
          <w:i w:val="0"/>
          <w:caps w:val="0"/>
          <w:color w:val="000000"/>
          <w:spacing w:val="0"/>
          <w:sz w:val="31"/>
          <w:szCs w:val="31"/>
          <w:shd w:val="clear" w:color="auto" w:fill="auto"/>
        </w:rPr>
        <w:t>万元。</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72.86</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宋体" w:eastAsia="仿宋_GB2312" w:cs="仿宋_GB2312"/>
          <w:b w:val="0"/>
          <w:i w:val="0"/>
          <w:caps w:val="0"/>
          <w:color w:val="000000"/>
          <w:spacing w:val="0"/>
          <w:sz w:val="31"/>
          <w:szCs w:val="31"/>
          <w:shd w:val="clear" w:fill="FFFFFF"/>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十一、政府购买服务预算情况说明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2021年纳入政府购买服务预算支出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103</w:t>
      </w:r>
      <w:r>
        <w:rPr>
          <w:rFonts w:hint="eastAsia" w:ascii="仿宋_GB2312" w:hAnsi="微软雅黑" w:eastAsia="仿宋_GB2312" w:cs="仿宋_GB2312"/>
          <w:b w:val="0"/>
          <w:i w:val="0"/>
          <w:caps w:val="0"/>
          <w:color w:val="000000"/>
          <w:spacing w:val="0"/>
          <w:sz w:val="31"/>
          <w:szCs w:val="31"/>
          <w:shd w:val="clear" w:color="auto" w:fill="auto"/>
        </w:rPr>
        <w:t>万元，其中：通过一般公共预算安排购买服务支出预算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103</w:t>
      </w:r>
      <w:r>
        <w:rPr>
          <w:rFonts w:hint="eastAsia" w:ascii="仿宋_GB2312" w:hAnsi="微软雅黑" w:eastAsia="仿宋_GB2312" w:cs="仿宋_GB2312"/>
          <w:b w:val="0"/>
          <w:i w:val="0"/>
          <w:caps w:val="0"/>
          <w:color w:val="000000"/>
          <w:spacing w:val="0"/>
          <w:sz w:val="31"/>
          <w:szCs w:val="31"/>
          <w:shd w:val="clear" w:color="auto" w:fill="auto"/>
        </w:rPr>
        <w:t>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十二、2021年部门预算其他</w:t>
      </w:r>
      <w:r>
        <w:rPr>
          <w:rStyle w:val="5"/>
          <w:rFonts w:hint="eastAsia" w:ascii="黑体" w:hAnsi="宋体" w:eastAsia="黑体" w:cs="黑体"/>
          <w:b/>
          <w:i w:val="0"/>
          <w:caps w:val="0"/>
          <w:strike/>
          <w:color w:val="000000"/>
          <w:spacing w:val="0"/>
          <w:sz w:val="31"/>
          <w:szCs w:val="31"/>
          <w:shd w:val="clear" w:color="auto" w:fill="auto"/>
        </w:rPr>
        <w:t>重要</w:t>
      </w:r>
      <w:r>
        <w:rPr>
          <w:rStyle w:val="5"/>
          <w:rFonts w:hint="eastAsia" w:ascii="黑体" w:hAnsi="宋体" w:eastAsia="黑体" w:cs="黑体"/>
          <w:b/>
          <w:i w:val="0"/>
          <w:caps w:val="0"/>
          <w:color w:val="000000"/>
          <w:spacing w:val="0"/>
          <w:sz w:val="31"/>
          <w:szCs w:val="31"/>
          <w:shd w:val="clear" w:color="auto" w:fill="auto"/>
        </w:rPr>
        <w:t>事项情况说明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ascii="楷体_GB2312" w:hAnsi="微软雅黑" w:eastAsia="楷体_GB2312" w:cs="楷体_GB2312"/>
          <w:b/>
          <w:i w:val="0"/>
          <w:caps w:val="0"/>
          <w:color w:val="000000"/>
          <w:spacing w:val="0"/>
          <w:sz w:val="31"/>
          <w:szCs w:val="31"/>
          <w:shd w:val="clear" w:color="auto" w:fill="auto"/>
        </w:rPr>
        <w:t>（一）机关运行经费安排情况说明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2021年行政运行预算</w:t>
      </w:r>
      <w:r>
        <w:rPr>
          <w:rFonts w:hint="eastAsia" w:ascii="仿宋_GB2312" w:hAnsi="微软雅黑" w:eastAsia="仿宋_GB2312" w:cs="仿宋_GB2312"/>
          <w:b w:val="0"/>
          <w:i w:val="0"/>
          <w:caps w:val="0"/>
          <w:color w:val="000000"/>
          <w:spacing w:val="0"/>
          <w:sz w:val="31"/>
          <w:szCs w:val="31"/>
          <w:shd w:val="clear" w:color="auto" w:fill="auto"/>
          <w:lang w:val="en-US" w:eastAsia="zh-CN"/>
        </w:rPr>
        <w:t>1351.5</w:t>
      </w:r>
      <w:r>
        <w:rPr>
          <w:rFonts w:hint="eastAsia" w:ascii="仿宋_GB2312" w:hAnsi="微软雅黑" w:eastAsia="仿宋_GB2312" w:cs="仿宋_GB2312"/>
          <w:b w:val="0"/>
          <w:i w:val="0"/>
          <w:caps w:val="0"/>
          <w:color w:val="000000"/>
          <w:spacing w:val="0"/>
          <w:sz w:val="31"/>
          <w:szCs w:val="31"/>
          <w:shd w:val="clear" w:color="auto" w:fill="auto"/>
        </w:rPr>
        <w:t>万元，</w:t>
      </w:r>
      <w:r>
        <w:rPr>
          <w:rFonts w:ascii="仿宋_GB2312" w:hAnsi="宋体" w:eastAsia="仿宋_GB2312" w:cs="仿宋_GB2312"/>
          <w:b w:val="0"/>
          <w:i w:val="0"/>
          <w:caps w:val="0"/>
          <w:color w:val="000000"/>
          <w:spacing w:val="0"/>
          <w:sz w:val="31"/>
          <w:szCs w:val="31"/>
          <w:shd w:val="clear" w:fill="FFFFFF"/>
        </w:rPr>
        <w:t>同比增加</w:t>
      </w:r>
      <w:r>
        <w:rPr>
          <w:rFonts w:hint="eastAsia" w:ascii="仿宋_GB2312" w:hAnsi="宋体" w:eastAsia="仿宋_GB2312" w:cs="仿宋_GB2312"/>
          <w:b w:val="0"/>
          <w:i w:val="0"/>
          <w:caps w:val="0"/>
          <w:color w:val="000000"/>
          <w:spacing w:val="0"/>
          <w:sz w:val="31"/>
          <w:szCs w:val="31"/>
          <w:shd w:val="clear" w:fill="FFFFFF"/>
          <w:lang w:val="en-US" w:eastAsia="zh-CN"/>
        </w:rPr>
        <w:t>1351.5</w:t>
      </w:r>
      <w:r>
        <w:rPr>
          <w:rFonts w:ascii="仿宋_GB2312" w:hAnsi="宋体" w:eastAsia="仿宋_GB2312" w:cs="仿宋_GB2312"/>
          <w:b w:val="0"/>
          <w:i w:val="0"/>
          <w:caps w:val="0"/>
          <w:color w:val="000000"/>
          <w:spacing w:val="0"/>
          <w:sz w:val="31"/>
          <w:szCs w:val="31"/>
          <w:shd w:val="clear" w:fill="FFFFFF"/>
        </w:rPr>
        <w:t>万元，同比增长</w:t>
      </w:r>
      <w:r>
        <w:rPr>
          <w:rFonts w:hint="eastAsia" w:ascii="仿宋_GB2312" w:hAnsi="宋体" w:eastAsia="仿宋_GB2312" w:cs="仿宋_GB2312"/>
          <w:b w:val="0"/>
          <w:i w:val="0"/>
          <w:caps w:val="0"/>
          <w:color w:val="000000"/>
          <w:spacing w:val="0"/>
          <w:sz w:val="31"/>
          <w:szCs w:val="31"/>
          <w:shd w:val="clear" w:fill="FFFFFF"/>
          <w:lang w:val="en-US" w:eastAsia="zh-CN"/>
        </w:rPr>
        <w:t>100</w:t>
      </w:r>
      <w:r>
        <w:rPr>
          <w:rFonts w:ascii="仿宋_GB2312" w:hAnsi="宋体" w:eastAsia="仿宋_GB2312" w:cs="仿宋_GB2312"/>
          <w:b w:val="0"/>
          <w:i w:val="0"/>
          <w:caps w:val="0"/>
          <w:color w:val="000000"/>
          <w:spacing w:val="0"/>
          <w:sz w:val="31"/>
          <w:szCs w:val="31"/>
          <w:shd w:val="clear" w:fill="FFFFFF"/>
        </w:rPr>
        <w:t>%</w:t>
      </w:r>
      <w:r>
        <w:rPr>
          <w:rFonts w:hint="eastAsia" w:ascii="仿宋_GB2312" w:hAnsi="宋体" w:eastAsia="仿宋_GB2312" w:cs="仿宋_GB2312"/>
          <w:b w:val="0"/>
          <w:i w:val="0"/>
          <w:caps w:val="0"/>
          <w:color w:val="000000"/>
          <w:spacing w:val="0"/>
          <w:sz w:val="31"/>
          <w:szCs w:val="31"/>
          <w:shd w:val="clear" w:fill="FFFFFF"/>
          <w:lang w:eastAsia="zh-CN"/>
        </w:rPr>
        <w:t>，</w:t>
      </w:r>
      <w:r>
        <w:rPr>
          <w:rFonts w:hint="eastAsia" w:ascii="仿宋_GB2312" w:hAnsi="微软雅黑" w:eastAsia="仿宋_GB2312" w:cs="仿宋_GB2312"/>
          <w:b w:val="0"/>
          <w:i w:val="0"/>
          <w:caps w:val="0"/>
          <w:color w:val="000000"/>
          <w:spacing w:val="0"/>
          <w:sz w:val="31"/>
          <w:szCs w:val="31"/>
          <w:shd w:val="clear" w:color="auto" w:fill="auto"/>
        </w:rPr>
        <w:t>主要用于为保障法院运行用于购买货物和服务的各项支出。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jc w:val="both"/>
        <w:rPr>
          <w:rFonts w:hint="eastAsia" w:ascii="微软雅黑" w:hAnsi="微软雅黑" w:eastAsia="微软雅黑" w:cs="微软雅黑"/>
          <w:b w:val="0"/>
          <w:i w:val="0"/>
          <w:caps w:val="0"/>
          <w:color w:val="000000"/>
          <w:spacing w:val="0"/>
          <w:sz w:val="24"/>
          <w:szCs w:val="24"/>
          <w:shd w:val="clear" w:color="auto" w:fill="auto"/>
        </w:rPr>
      </w:pPr>
      <w:r>
        <w:rPr>
          <w:rStyle w:val="5"/>
          <w:rFonts w:hint="default" w:ascii="楷体_GB2312" w:hAnsi="微软雅黑" w:eastAsia="楷体_GB2312" w:cs="楷体_GB2312"/>
          <w:b/>
          <w:i w:val="0"/>
          <w:caps w:val="0"/>
          <w:color w:val="000000"/>
          <w:spacing w:val="0"/>
          <w:sz w:val="31"/>
          <w:szCs w:val="31"/>
          <w:shd w:val="clear" w:color="auto" w:fill="auto"/>
        </w:rPr>
        <w:t>（二）国有资产占用情况说明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rPr>
        <w:t>2021年本部门实有在编车辆</w:t>
      </w:r>
      <w:r>
        <w:rPr>
          <w:rFonts w:hint="eastAsia" w:ascii="仿宋_GB2312" w:hAnsi="微软雅黑" w:eastAsia="仿宋_GB2312" w:cs="仿宋_GB2312"/>
          <w:b w:val="0"/>
          <w:i w:val="0"/>
          <w:caps w:val="0"/>
          <w:color w:val="000000"/>
          <w:spacing w:val="0"/>
          <w:sz w:val="31"/>
          <w:szCs w:val="31"/>
          <w:shd w:val="clear" w:color="auto" w:fill="auto"/>
          <w:lang w:val="en-US" w:eastAsia="zh-CN"/>
        </w:rPr>
        <w:t>0</w:t>
      </w:r>
      <w:r>
        <w:rPr>
          <w:rFonts w:hint="eastAsia" w:ascii="仿宋_GB2312" w:hAnsi="微软雅黑" w:eastAsia="仿宋_GB2312" w:cs="仿宋_GB2312"/>
          <w:b w:val="0"/>
          <w:i w:val="0"/>
          <w:caps w:val="0"/>
          <w:color w:val="000000"/>
          <w:spacing w:val="0"/>
          <w:sz w:val="31"/>
          <w:szCs w:val="31"/>
          <w:shd w:val="clear" w:color="auto" w:fill="auto"/>
        </w:rPr>
        <w:t>辆，</w:t>
      </w:r>
      <w:r>
        <w:rPr>
          <w:rFonts w:hint="eastAsia" w:ascii="仿宋_GB2312" w:hAnsi="微软雅黑" w:eastAsia="仿宋_GB2312" w:cs="仿宋_GB2312"/>
          <w:b w:val="0"/>
          <w:i w:val="0"/>
          <w:caps w:val="0"/>
          <w:color w:val="000000"/>
          <w:spacing w:val="0"/>
          <w:sz w:val="31"/>
          <w:szCs w:val="31"/>
          <w:shd w:val="clear" w:color="auto" w:fill="auto"/>
          <w:lang w:eastAsia="zh-CN"/>
        </w:rPr>
        <w:t>我院所使用</w:t>
      </w:r>
      <w:r>
        <w:rPr>
          <w:rFonts w:hint="eastAsia" w:ascii="仿宋_GB2312" w:hAnsi="微软雅黑" w:eastAsia="仿宋_GB2312" w:cs="仿宋_GB2312"/>
          <w:b w:val="0"/>
          <w:i w:val="0"/>
          <w:caps w:val="0"/>
          <w:color w:val="000000"/>
          <w:spacing w:val="0"/>
          <w:sz w:val="31"/>
          <w:szCs w:val="31"/>
          <w:shd w:val="clear" w:color="auto" w:fill="auto"/>
        </w:rPr>
        <w:t>车辆为</w:t>
      </w:r>
      <w:r>
        <w:rPr>
          <w:rFonts w:hint="eastAsia" w:ascii="仿宋_GB2312" w:hAnsi="微软雅黑" w:eastAsia="仿宋_GB2312" w:cs="仿宋_GB2312"/>
          <w:b w:val="0"/>
          <w:i w:val="0"/>
          <w:caps w:val="0"/>
          <w:color w:val="000000"/>
          <w:spacing w:val="0"/>
          <w:sz w:val="31"/>
          <w:szCs w:val="31"/>
          <w:shd w:val="clear" w:color="auto" w:fill="auto"/>
          <w:lang w:eastAsia="zh-CN"/>
        </w:rPr>
        <w:t>柳州市中级人民法院</w:t>
      </w:r>
      <w:r>
        <w:rPr>
          <w:rFonts w:hint="eastAsia" w:ascii="仿宋_GB2312" w:hAnsi="微软雅黑" w:eastAsia="仿宋_GB2312" w:cs="仿宋_GB2312"/>
          <w:b w:val="0"/>
          <w:i w:val="0"/>
          <w:caps w:val="0"/>
          <w:color w:val="000000"/>
          <w:spacing w:val="0"/>
          <w:sz w:val="31"/>
          <w:szCs w:val="31"/>
          <w:shd w:val="clear" w:color="auto" w:fill="auto"/>
        </w:rPr>
        <w:t>所有。说明：根据柳州市机关事务管理局《关于申请将基层法院的公车编制划转至市中级人民法院的复函》，从2020年起，柳州县区基层法院的公车编制全部划转至</w:t>
      </w:r>
      <w:r>
        <w:rPr>
          <w:rFonts w:hint="eastAsia" w:ascii="仿宋_GB2312" w:hAnsi="微软雅黑" w:eastAsia="仿宋_GB2312" w:cs="仿宋_GB2312"/>
          <w:b w:val="0"/>
          <w:i w:val="0"/>
          <w:caps w:val="0"/>
          <w:color w:val="000000"/>
          <w:spacing w:val="0"/>
          <w:sz w:val="31"/>
          <w:szCs w:val="31"/>
          <w:shd w:val="clear" w:color="auto" w:fill="auto"/>
          <w:lang w:eastAsia="zh-CN"/>
        </w:rPr>
        <w:t>柳州市中级人民法院</w:t>
      </w:r>
      <w:r>
        <w:rPr>
          <w:rFonts w:hint="eastAsia" w:ascii="仿宋_GB2312" w:hAnsi="微软雅黑" w:eastAsia="仿宋_GB2312" w:cs="仿宋_GB2312"/>
          <w:b w:val="0"/>
          <w:i w:val="0"/>
          <w:caps w:val="0"/>
          <w:color w:val="000000"/>
          <w:spacing w:val="0"/>
          <w:sz w:val="31"/>
          <w:szCs w:val="31"/>
          <w:shd w:val="clear" w:color="auto" w:fill="auto"/>
        </w:rPr>
        <w:t>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default" w:ascii="楷体_GB2312" w:hAnsi="微软雅黑" w:eastAsia="楷体_GB2312" w:cs="楷体_GB2312"/>
          <w:b/>
          <w:i w:val="0"/>
          <w:caps w:val="0"/>
          <w:color w:val="000000"/>
          <w:spacing w:val="0"/>
          <w:sz w:val="31"/>
          <w:szCs w:val="31"/>
          <w:shd w:val="clear" w:color="auto" w:fill="auto"/>
        </w:rPr>
        <w:t>（三）200万元以上项目预算绩效情况说明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000000"/>
          <w:spacing w:val="0"/>
          <w:sz w:val="31"/>
          <w:szCs w:val="31"/>
          <w:shd w:val="clear" w:color="auto" w:fill="auto"/>
          <w:lang w:eastAsia="zh-CN"/>
        </w:rPr>
        <w:t>柳州市鱼峰区人民法院</w:t>
      </w:r>
      <w:r>
        <w:rPr>
          <w:rFonts w:hint="eastAsia" w:ascii="仿宋_GB2312" w:hAnsi="微软雅黑" w:eastAsia="仿宋_GB2312" w:cs="仿宋_GB2312"/>
          <w:b w:val="0"/>
          <w:i w:val="0"/>
          <w:caps w:val="0"/>
          <w:color w:val="000000"/>
          <w:spacing w:val="0"/>
          <w:sz w:val="31"/>
          <w:szCs w:val="31"/>
          <w:shd w:val="clear" w:color="auto" w:fill="auto"/>
        </w:rPr>
        <w:t>2021年部门预算有1个200万元以上的项目列入绩效考核范围，涉及一般公共预算拨款支出</w:t>
      </w:r>
      <w:r>
        <w:rPr>
          <w:rFonts w:hint="eastAsia" w:ascii="仿宋_GB2312" w:hAnsi="微软雅黑" w:eastAsia="仿宋_GB2312" w:cs="仿宋_GB2312"/>
          <w:b w:val="0"/>
          <w:i w:val="0"/>
          <w:caps w:val="0"/>
          <w:color w:val="000000"/>
          <w:spacing w:val="0"/>
          <w:sz w:val="31"/>
          <w:szCs w:val="31"/>
          <w:shd w:val="clear" w:color="auto" w:fill="auto"/>
          <w:lang w:val="en-US" w:eastAsia="zh-CN"/>
        </w:rPr>
        <w:t>804.11</w:t>
      </w:r>
      <w:r>
        <w:rPr>
          <w:rFonts w:hint="eastAsia" w:ascii="仿宋_GB2312" w:hAnsi="微软雅黑" w:eastAsia="仿宋_GB2312" w:cs="仿宋_GB2312"/>
          <w:b w:val="0"/>
          <w:i w:val="0"/>
          <w:caps w:val="0"/>
          <w:color w:val="000000"/>
          <w:spacing w:val="0"/>
          <w:sz w:val="31"/>
          <w:szCs w:val="31"/>
          <w:shd w:val="clear" w:color="auto" w:fill="auto"/>
        </w:rPr>
        <w:t>万元。其中：机关本级有</w:t>
      </w:r>
      <w:r>
        <w:rPr>
          <w:rFonts w:hint="eastAsia" w:ascii="仿宋_GB2312" w:hAnsi="微软雅黑" w:eastAsia="仿宋_GB2312" w:cs="仿宋_GB2312"/>
          <w:b w:val="0"/>
          <w:i w:val="0"/>
          <w:caps w:val="0"/>
          <w:color w:val="000000"/>
          <w:spacing w:val="0"/>
          <w:sz w:val="31"/>
          <w:szCs w:val="31"/>
          <w:shd w:val="clear" w:color="auto" w:fill="auto"/>
          <w:lang w:val="en-US" w:eastAsia="zh-CN"/>
        </w:rPr>
        <w:t>1</w:t>
      </w:r>
      <w:r>
        <w:rPr>
          <w:rFonts w:hint="eastAsia" w:ascii="仿宋_GB2312" w:hAnsi="微软雅黑" w:eastAsia="仿宋_GB2312" w:cs="仿宋_GB2312"/>
          <w:b w:val="0"/>
          <w:i w:val="0"/>
          <w:caps w:val="0"/>
          <w:color w:val="000000"/>
          <w:spacing w:val="0"/>
          <w:sz w:val="31"/>
          <w:szCs w:val="31"/>
          <w:shd w:val="clear" w:color="auto" w:fill="auto"/>
        </w:rPr>
        <w:t>个绩效考核项目，分别是：聘用人员支出，预算金额</w:t>
      </w:r>
      <w:r>
        <w:rPr>
          <w:rFonts w:hint="eastAsia" w:ascii="仿宋_GB2312" w:hAnsi="微软雅黑" w:eastAsia="仿宋_GB2312" w:cs="仿宋_GB2312"/>
          <w:b w:val="0"/>
          <w:i w:val="0"/>
          <w:caps w:val="0"/>
          <w:color w:val="000000"/>
          <w:spacing w:val="0"/>
          <w:sz w:val="31"/>
          <w:szCs w:val="31"/>
          <w:shd w:val="clear" w:color="auto" w:fill="auto"/>
          <w:lang w:val="en-US" w:eastAsia="zh-CN"/>
        </w:rPr>
        <w:t>804.11</w:t>
      </w:r>
      <w:r>
        <w:rPr>
          <w:rFonts w:hint="eastAsia" w:ascii="仿宋_GB2312" w:hAnsi="微软雅黑" w:eastAsia="仿宋_GB2312" w:cs="仿宋_GB2312"/>
          <w:b w:val="0"/>
          <w:i w:val="0"/>
          <w:caps w:val="0"/>
          <w:color w:val="000000"/>
          <w:spacing w:val="0"/>
          <w:sz w:val="31"/>
          <w:szCs w:val="31"/>
          <w:shd w:val="clear" w:color="auto" w:fill="auto"/>
        </w:rPr>
        <w:t>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0"/>
        <w:jc w:val="center"/>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仿宋_GB2312" w:hAnsi="微软雅黑" w:eastAsia="仿宋_GB2312" w:cs="仿宋_GB2312"/>
          <w:b/>
          <w:i w:val="0"/>
          <w:caps w:val="0"/>
          <w:color w:val="000000"/>
          <w:spacing w:val="0"/>
          <w:sz w:val="31"/>
          <w:szCs w:val="31"/>
          <w:shd w:val="clear" w:color="auto" w:fill="auto"/>
        </w:rPr>
        <w:t>第四部分：名词解释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一、财政拨款收入</w:t>
      </w:r>
      <w:r>
        <w:rPr>
          <w:rFonts w:hint="eastAsia" w:ascii="仿宋_GB2312" w:hAnsi="微软雅黑" w:eastAsia="仿宋_GB2312" w:cs="仿宋_GB2312"/>
          <w:b w:val="0"/>
          <w:i w:val="0"/>
          <w:caps w:val="0"/>
          <w:color w:val="000000"/>
          <w:spacing w:val="0"/>
          <w:sz w:val="31"/>
          <w:szCs w:val="31"/>
          <w:shd w:val="clear" w:color="auto" w:fill="auto"/>
        </w:rPr>
        <w:t>：指市本级财政部门当年拨付的资金。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二、基本支出</w:t>
      </w:r>
      <w:r>
        <w:rPr>
          <w:rFonts w:hint="eastAsia" w:ascii="仿宋_GB2312" w:hAnsi="微软雅黑" w:eastAsia="仿宋_GB2312" w:cs="仿宋_GB2312"/>
          <w:b w:val="0"/>
          <w:i w:val="0"/>
          <w:caps w:val="0"/>
          <w:color w:val="000000"/>
          <w:spacing w:val="0"/>
          <w:sz w:val="31"/>
          <w:szCs w:val="31"/>
          <w:shd w:val="clear" w:color="auto" w:fill="auto"/>
        </w:rPr>
        <w:t>：指为保障机构正常运转、完成日常工作任务而发生的人员支出和公用支出。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三、项目支出</w:t>
      </w:r>
      <w:r>
        <w:rPr>
          <w:rFonts w:hint="eastAsia" w:ascii="仿宋_GB2312" w:hAnsi="微软雅黑" w:eastAsia="仿宋_GB2312" w:cs="仿宋_GB2312"/>
          <w:b w:val="0"/>
          <w:i w:val="0"/>
          <w:caps w:val="0"/>
          <w:color w:val="000000"/>
          <w:spacing w:val="0"/>
          <w:sz w:val="31"/>
          <w:szCs w:val="31"/>
          <w:shd w:val="clear" w:color="auto" w:fill="auto"/>
        </w:rPr>
        <w:t>：指在基本支出之外为完成特定行政任务和事业发展目标所发生的支出。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四、“三公”经费</w:t>
      </w:r>
      <w:r>
        <w:rPr>
          <w:rFonts w:hint="eastAsia" w:ascii="仿宋_GB2312" w:hAnsi="微软雅黑" w:eastAsia="仿宋_GB2312" w:cs="仿宋_GB2312"/>
          <w:b w:val="0"/>
          <w:i w:val="0"/>
          <w:caps w:val="0"/>
          <w:color w:val="000000"/>
          <w:spacing w:val="0"/>
          <w:sz w:val="31"/>
          <w:szCs w:val="31"/>
          <w:shd w:val="clear" w:color="auto" w:fill="auto"/>
        </w:rPr>
        <w:t>：纳入市财政预决算管理的“三公”经费，是指市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Style w:val="5"/>
          <w:rFonts w:hint="eastAsia" w:ascii="黑体" w:hAnsi="宋体" w:eastAsia="黑体" w:cs="黑体"/>
          <w:b/>
          <w:i w:val="0"/>
          <w:caps w:val="0"/>
          <w:color w:val="000000"/>
          <w:spacing w:val="0"/>
          <w:sz w:val="31"/>
          <w:szCs w:val="31"/>
          <w:shd w:val="clear" w:color="auto" w:fill="auto"/>
        </w:rPr>
        <w:t>五、机关运行经费</w:t>
      </w:r>
      <w:r>
        <w:rPr>
          <w:rFonts w:hint="eastAsia" w:ascii="仿宋_GB2312" w:hAnsi="微软雅黑" w:eastAsia="仿宋_GB2312" w:cs="仿宋_GB2312"/>
          <w:b w:val="0"/>
          <w:i w:val="0"/>
          <w:caps w:val="0"/>
          <w:color w:val="000000"/>
          <w:spacing w:val="0"/>
          <w:sz w:val="31"/>
          <w:szCs w:val="31"/>
          <w:shd w:val="clear" w:color="auto" w:fill="auto"/>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left="0" w:right="0" w:firstLine="645"/>
        <w:rPr>
          <w:rFonts w:hint="eastAsia" w:ascii="微软雅黑" w:hAnsi="微软雅黑" w:eastAsia="微软雅黑" w:cs="微软雅黑"/>
          <w:b w:val="0"/>
          <w:i w:val="0"/>
          <w:caps w:val="0"/>
          <w:color w:val="000000"/>
          <w:spacing w:val="0"/>
          <w:sz w:val="24"/>
          <w:szCs w:val="24"/>
          <w:shd w:val="clear" w:color="auto" w:fill="auto"/>
        </w:rPr>
      </w:pPr>
      <w:r>
        <w:rPr>
          <w:rFonts w:hint="eastAsia" w:ascii="仿宋_GB2312" w:hAnsi="微软雅黑" w:eastAsia="仿宋_GB2312" w:cs="仿宋_GB2312"/>
          <w:b w:val="0"/>
          <w:i w:val="0"/>
          <w:caps w:val="0"/>
          <w:color w:val="FF0000"/>
          <w:spacing w:val="0"/>
          <w:sz w:val="31"/>
          <w:szCs w:val="31"/>
          <w:shd w:val="clear" w:color="auto" w:fill="auto"/>
        </w:rPr>
        <w:t> </w:t>
      </w:r>
    </w:p>
    <w:p>
      <w:pPr>
        <w:shd w:val="clear"/>
        <w:rPr>
          <w:shd w:val="clear" w:color="auto" w:fill="auto"/>
        </w:rPr>
      </w:pPr>
    </w:p>
    <w:p>
      <w:pPr>
        <w:shd w:val="clear"/>
        <w:rPr>
          <w:shd w:val="clear" w:color="auto" w:fill="auto"/>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yY2Y5Y2UxZjkwY2NiYzg1MTM4ZmQzOTFhYWJhY2IifQ=="/>
  </w:docVars>
  <w:rsids>
    <w:rsidRoot w:val="63226A0C"/>
    <w:rsid w:val="0A9E0999"/>
    <w:rsid w:val="0DC64113"/>
    <w:rsid w:val="29624C1E"/>
    <w:rsid w:val="38B327C9"/>
    <w:rsid w:val="63226A0C"/>
    <w:rsid w:val="77D80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柳州鱼峰法院</Company>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2021-05-06T03:08:00Z</dcterms:created>
  <dc:creator>Administrator</dc:creator>
  <cp:lastModifiedBy>chenchen</cp:lastModifiedBy>
  <dcterms:modified xsi:type="dcterms:W3CDTF">2022-09-04T02:50:42Z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8C9829058FC747C9B6D8B0C9431AA431</vt:lpwstr>
  </property>
</Properties>
</file>