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华文仿宋" w:eastAsia="方正小标宋简体"/>
          <w:sz w:val="44"/>
          <w:szCs w:val="44"/>
          <w:lang w:val="en-US" w:eastAsia="zh-CN"/>
        </w:rPr>
      </w:pPr>
      <w:r>
        <w:rPr>
          <w:rFonts w:hint="eastAsia" w:ascii="方正小标宋简体" w:hAnsi="华文仿宋" w:eastAsia="方正小标宋简体"/>
          <w:sz w:val="44"/>
          <w:szCs w:val="44"/>
          <w:lang w:val="en-US" w:eastAsia="zh-CN"/>
        </w:rPr>
        <w:t>柳州市储备粮管理中心（军粮供应管理中心）</w:t>
      </w:r>
    </w:p>
    <w:p>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华文仿宋" w:eastAsia="方正小标宋简体"/>
          <w:sz w:val="44"/>
          <w:szCs w:val="44"/>
          <w:lang w:eastAsia="zh-CN"/>
        </w:rPr>
      </w:pPr>
      <w:r>
        <w:rPr>
          <w:rFonts w:hint="eastAsia" w:ascii="方正小标宋简体" w:hAnsi="华文仿宋" w:eastAsia="方正小标宋简体"/>
          <w:sz w:val="44"/>
          <w:szCs w:val="44"/>
          <w:lang w:val="en-US" w:eastAsia="zh-CN"/>
        </w:rPr>
        <w:t>2021年</w:t>
      </w:r>
      <w:r>
        <w:rPr>
          <w:rFonts w:hint="eastAsia" w:ascii="方正小标宋简体" w:hAnsi="华文仿宋" w:eastAsia="方正小标宋简体"/>
          <w:sz w:val="44"/>
          <w:szCs w:val="44"/>
        </w:rPr>
        <w:t>预算</w:t>
      </w:r>
      <w:r>
        <w:rPr>
          <w:rFonts w:hint="eastAsia" w:ascii="方正小标宋简体" w:hAnsi="华文仿宋" w:eastAsia="方正小标宋简体"/>
          <w:sz w:val="44"/>
          <w:szCs w:val="44"/>
          <w:lang w:eastAsia="zh-CN"/>
        </w:rPr>
        <w:t>公开说明</w:t>
      </w:r>
    </w:p>
    <w:p>
      <w:pPr>
        <w:keepNext w:val="0"/>
        <w:keepLines w:val="0"/>
        <w:pageBreakBefore w:val="0"/>
        <w:kinsoku/>
        <w:wordWrap/>
        <w:overflowPunct/>
        <w:topLinePunct w:val="0"/>
        <w:autoSpaceDE/>
        <w:autoSpaceDN/>
        <w:bidi w:val="0"/>
        <w:spacing w:line="560" w:lineRule="exact"/>
        <w:jc w:val="both"/>
        <w:textAlignment w:val="auto"/>
        <w:rPr>
          <w:rFonts w:hint="eastAsia" w:ascii="方正小标宋简体" w:hAnsi="华文仿宋" w:eastAsia="方正小标宋简体"/>
          <w:sz w:val="44"/>
          <w:szCs w:val="44"/>
        </w:rPr>
      </w:pPr>
    </w:p>
    <w:p>
      <w:pPr>
        <w:keepNext w:val="0"/>
        <w:keepLines w:val="0"/>
        <w:pageBreakBefore w:val="0"/>
        <w:kinsoku/>
        <w:wordWrap/>
        <w:overflowPunct/>
        <w:topLinePunct w:val="0"/>
        <w:autoSpaceDE/>
        <w:autoSpaceDN/>
        <w:bidi w:val="0"/>
        <w:spacing w:line="560" w:lineRule="exact"/>
        <w:jc w:val="center"/>
        <w:textAlignment w:val="auto"/>
        <w:rPr>
          <w:rStyle w:val="6"/>
          <w:rFonts w:hint="eastAsia" w:ascii="方正小标宋简体" w:hAnsi="华文仿宋" w:eastAsia="方正小标宋简体"/>
          <w:bCs w:val="0"/>
          <w:sz w:val="44"/>
          <w:szCs w:val="44"/>
        </w:rPr>
      </w:pPr>
      <w:r>
        <w:rPr>
          <w:rStyle w:val="6"/>
          <w:rFonts w:hint="eastAsia" w:ascii="方正小标宋简体" w:hAnsi="华文仿宋" w:eastAsia="方正小标宋简体"/>
          <w:bCs w:val="0"/>
          <w:sz w:val="44"/>
          <w:szCs w:val="44"/>
        </w:rPr>
        <w:t>目 录</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3" w:firstLineChars="200"/>
        <w:textAlignment w:val="auto"/>
        <w:rPr>
          <w:rFonts w:hint="eastAsia" w:ascii="仿宋_GB2312" w:hAnsi="华文仿宋" w:eastAsia="仿宋_GB2312"/>
          <w:b/>
          <w:bCs/>
          <w:color w:val="000000"/>
          <w:sz w:val="32"/>
          <w:szCs w:val="32"/>
        </w:rPr>
      </w:pPr>
      <w:r>
        <w:rPr>
          <w:rFonts w:hint="eastAsia" w:ascii="仿宋_GB2312" w:hAnsi="华文仿宋" w:eastAsia="仿宋_GB2312"/>
          <w:b/>
          <w:bCs/>
          <w:color w:val="000000"/>
          <w:sz w:val="32"/>
          <w:szCs w:val="32"/>
        </w:rPr>
        <w:t>第一部分：</w:t>
      </w:r>
      <w:r>
        <w:rPr>
          <w:rFonts w:hint="eastAsia" w:ascii="仿宋_GB2312" w:hAnsi="华文仿宋" w:eastAsia="仿宋_GB2312"/>
          <w:b/>
          <w:bCs/>
          <w:color w:val="000000"/>
          <w:sz w:val="32"/>
          <w:szCs w:val="32"/>
          <w:lang w:val="en-US" w:eastAsia="zh-CN"/>
        </w:rPr>
        <w:t>柳州市储备粮管理中心</w:t>
      </w:r>
      <w:r>
        <w:rPr>
          <w:rFonts w:hint="eastAsia" w:ascii="仿宋_GB2312" w:hAnsi="华文仿宋" w:eastAsia="仿宋_GB2312"/>
          <w:b/>
          <w:bCs/>
          <w:color w:val="000000"/>
          <w:sz w:val="32"/>
          <w:szCs w:val="32"/>
        </w:rPr>
        <w:t>概况</w:t>
      </w:r>
    </w:p>
    <w:p>
      <w:pPr>
        <w:pStyle w:val="3"/>
        <w:keepNext w:val="0"/>
        <w:keepLines w:val="0"/>
        <w:pageBreakBefore w:val="0"/>
        <w:numPr>
          <w:ilvl w:val="0"/>
          <w:numId w:val="1"/>
        </w:numPr>
        <w:kinsoku/>
        <w:wordWrap/>
        <w:overflowPunct/>
        <w:topLinePunct w:val="0"/>
        <w:autoSpaceDE/>
        <w:autoSpaceDN/>
        <w:bidi w:val="0"/>
        <w:spacing w:before="0" w:beforeAutospacing="0" w:after="0" w:afterAutospacing="0" w:line="560" w:lineRule="exact"/>
        <w:ind w:left="0" w:leftChars="0"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机构设置情况</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3" w:firstLineChars="200"/>
        <w:textAlignment w:val="auto"/>
        <w:rPr>
          <w:rFonts w:hint="eastAsia" w:ascii="仿宋_GB2312" w:hAnsi="华文仿宋" w:eastAsia="仿宋_GB2312"/>
          <w:b/>
          <w:bCs/>
          <w:color w:val="000000"/>
          <w:sz w:val="32"/>
          <w:szCs w:val="32"/>
        </w:rPr>
      </w:pPr>
      <w:r>
        <w:rPr>
          <w:rFonts w:hint="eastAsia" w:ascii="仿宋_GB2312" w:hAnsi="华文仿宋" w:eastAsia="仿宋_GB2312"/>
          <w:b/>
          <w:bCs/>
          <w:color w:val="000000"/>
          <w:sz w:val="32"/>
          <w:szCs w:val="32"/>
        </w:rPr>
        <w:t>第二部分：</w:t>
      </w:r>
      <w:r>
        <w:rPr>
          <w:rFonts w:hint="eastAsia" w:ascii="仿宋_GB2312" w:hAnsi="华文仿宋" w:eastAsia="仿宋_GB2312"/>
          <w:b/>
          <w:bCs/>
          <w:color w:val="000000"/>
          <w:sz w:val="32"/>
          <w:szCs w:val="32"/>
          <w:lang w:val="en-US" w:eastAsia="zh-CN"/>
        </w:rPr>
        <w:t>柳州市储备粮管理中心</w:t>
      </w:r>
      <w:r>
        <w:rPr>
          <w:rFonts w:hint="eastAsia" w:ascii="仿宋_GB2312" w:hAnsi="华文仿宋" w:eastAsia="仿宋_GB2312"/>
          <w:b/>
          <w:bCs/>
          <w:color w:val="000000"/>
          <w:sz w:val="32"/>
          <w:szCs w:val="32"/>
          <w:lang w:eastAsia="zh-CN"/>
        </w:rPr>
        <w:t>202</w:t>
      </w:r>
      <w:r>
        <w:rPr>
          <w:rFonts w:hint="eastAsia" w:ascii="仿宋_GB2312" w:hAnsi="华文仿宋" w:eastAsia="仿宋_GB2312"/>
          <w:b/>
          <w:bCs/>
          <w:color w:val="000000"/>
          <w:sz w:val="32"/>
          <w:szCs w:val="32"/>
          <w:lang w:val="en-US" w:eastAsia="zh-CN"/>
        </w:rPr>
        <w:t>1</w:t>
      </w:r>
      <w:r>
        <w:rPr>
          <w:rFonts w:hint="eastAsia" w:ascii="仿宋_GB2312" w:hAnsi="华文仿宋" w:eastAsia="仿宋_GB2312"/>
          <w:b/>
          <w:bCs/>
          <w:color w:val="000000"/>
          <w:sz w:val="32"/>
          <w:szCs w:val="32"/>
        </w:rPr>
        <w:t>年预算</w:t>
      </w:r>
      <w:r>
        <w:rPr>
          <w:rFonts w:hint="eastAsia" w:ascii="仿宋_GB2312" w:hAnsi="华文仿宋" w:eastAsia="仿宋_GB2312"/>
          <w:b/>
          <w:bCs/>
          <w:color w:val="000000"/>
          <w:sz w:val="32"/>
          <w:szCs w:val="32"/>
          <w:lang w:eastAsia="zh-CN"/>
        </w:rPr>
        <w:t>报</w:t>
      </w:r>
      <w:r>
        <w:rPr>
          <w:rFonts w:hint="eastAsia" w:ascii="仿宋_GB2312" w:hAnsi="华文仿宋" w:eastAsia="仿宋_GB2312"/>
          <w:b/>
          <w:bCs/>
          <w:color w:val="000000"/>
          <w:sz w:val="32"/>
          <w:szCs w:val="32"/>
        </w:rPr>
        <w:t>表</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lang w:eastAsia="zh-CN"/>
        </w:rPr>
      </w:pPr>
      <w:r>
        <w:rPr>
          <w:rFonts w:hint="eastAsia" w:ascii="仿宋_GB2312" w:hAnsi="华文仿宋" w:eastAsia="仿宋_GB2312"/>
          <w:bCs/>
          <w:color w:val="000000"/>
          <w:sz w:val="32"/>
          <w:szCs w:val="32"/>
          <w:lang w:eastAsia="zh-CN"/>
        </w:rPr>
        <w:t>一</w:t>
      </w:r>
      <w:r>
        <w:rPr>
          <w:rFonts w:hint="eastAsia" w:ascii="仿宋_GB2312" w:hAnsi="华文仿宋" w:eastAsia="仿宋_GB2312"/>
          <w:bCs/>
          <w:color w:val="000000"/>
          <w:sz w:val="32"/>
          <w:szCs w:val="32"/>
        </w:rPr>
        <w:t>、</w:t>
      </w:r>
      <w:r>
        <w:rPr>
          <w:rFonts w:hint="eastAsia" w:ascii="仿宋_GB2312" w:hAnsi="华文仿宋" w:eastAsia="仿宋_GB2312"/>
          <w:bCs/>
          <w:color w:val="000000"/>
          <w:sz w:val="32"/>
          <w:szCs w:val="32"/>
          <w:lang w:eastAsia="zh-CN"/>
        </w:rPr>
        <w:t>单位</w:t>
      </w:r>
      <w:r>
        <w:rPr>
          <w:rFonts w:hint="eastAsia" w:ascii="仿宋_GB2312" w:hAnsi="华文仿宋" w:eastAsia="仿宋_GB2312"/>
          <w:bCs/>
          <w:color w:val="000000"/>
          <w:sz w:val="32"/>
          <w:szCs w:val="32"/>
        </w:rPr>
        <w:t>收支</w:t>
      </w:r>
      <w:r>
        <w:rPr>
          <w:rFonts w:hint="eastAsia" w:ascii="仿宋_GB2312" w:hAnsi="华文仿宋" w:eastAsia="仿宋_GB2312"/>
          <w:bCs/>
          <w:color w:val="000000"/>
          <w:sz w:val="32"/>
          <w:szCs w:val="32"/>
          <w:lang w:eastAsia="zh-CN"/>
        </w:rPr>
        <w:t>总体情况表（预算公开</w:t>
      </w:r>
      <w:r>
        <w:rPr>
          <w:rFonts w:hint="eastAsia" w:ascii="仿宋_GB2312" w:hAnsi="华文仿宋" w:eastAsia="仿宋_GB2312"/>
          <w:bCs/>
          <w:color w:val="000000"/>
          <w:sz w:val="32"/>
          <w:szCs w:val="32"/>
          <w:lang w:val="en-US" w:eastAsia="zh-CN"/>
        </w:rPr>
        <w:t>01表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二</w:t>
      </w:r>
      <w:r>
        <w:rPr>
          <w:rFonts w:hint="eastAsia" w:ascii="仿宋_GB2312" w:hAnsi="华文仿宋" w:eastAsia="仿宋_GB2312"/>
          <w:bCs/>
          <w:color w:val="000000"/>
          <w:sz w:val="32"/>
          <w:szCs w:val="32"/>
        </w:rPr>
        <w:t>、</w:t>
      </w:r>
      <w:r>
        <w:rPr>
          <w:rFonts w:hint="eastAsia" w:ascii="仿宋_GB2312" w:hAnsi="华文仿宋" w:eastAsia="仿宋_GB2312"/>
          <w:bCs/>
          <w:color w:val="000000"/>
          <w:sz w:val="32"/>
          <w:szCs w:val="32"/>
          <w:lang w:eastAsia="zh-CN"/>
        </w:rPr>
        <w:t>单位</w:t>
      </w:r>
      <w:r>
        <w:rPr>
          <w:rFonts w:hint="eastAsia" w:ascii="仿宋_GB2312" w:hAnsi="华文仿宋" w:eastAsia="仿宋_GB2312"/>
          <w:bCs/>
          <w:color w:val="000000"/>
          <w:sz w:val="32"/>
          <w:szCs w:val="32"/>
        </w:rPr>
        <w:t>收入总</w:t>
      </w:r>
      <w:r>
        <w:rPr>
          <w:rFonts w:hint="eastAsia" w:ascii="仿宋_GB2312" w:hAnsi="华文仿宋" w:eastAsia="仿宋_GB2312"/>
          <w:bCs/>
          <w:color w:val="000000"/>
          <w:sz w:val="32"/>
          <w:szCs w:val="32"/>
          <w:lang w:eastAsia="zh-CN"/>
        </w:rPr>
        <w:t>体情况表（预算公开</w:t>
      </w:r>
      <w:r>
        <w:rPr>
          <w:rFonts w:hint="eastAsia" w:ascii="仿宋_GB2312" w:hAnsi="华文仿宋" w:eastAsia="仿宋_GB2312"/>
          <w:bCs/>
          <w:color w:val="000000"/>
          <w:sz w:val="32"/>
          <w:szCs w:val="32"/>
          <w:lang w:val="en-US" w:eastAsia="zh-CN"/>
        </w:rPr>
        <w:t>02表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lang w:eastAsia="zh-CN"/>
        </w:rPr>
      </w:pPr>
      <w:r>
        <w:rPr>
          <w:rFonts w:hint="eastAsia" w:ascii="仿宋_GB2312" w:hAnsi="华文仿宋" w:eastAsia="仿宋_GB2312"/>
          <w:bCs/>
          <w:color w:val="000000"/>
          <w:sz w:val="32"/>
          <w:szCs w:val="32"/>
          <w:lang w:eastAsia="zh-CN"/>
        </w:rPr>
        <w:t>三</w:t>
      </w:r>
      <w:r>
        <w:rPr>
          <w:rFonts w:hint="eastAsia" w:ascii="仿宋_GB2312" w:hAnsi="华文仿宋" w:eastAsia="仿宋_GB2312"/>
          <w:bCs/>
          <w:color w:val="000000"/>
          <w:sz w:val="32"/>
          <w:szCs w:val="32"/>
        </w:rPr>
        <w:t>、</w:t>
      </w:r>
      <w:r>
        <w:rPr>
          <w:rFonts w:hint="eastAsia" w:ascii="仿宋_GB2312" w:hAnsi="华文仿宋" w:eastAsia="仿宋_GB2312"/>
          <w:bCs/>
          <w:color w:val="000000"/>
          <w:sz w:val="32"/>
          <w:szCs w:val="32"/>
          <w:lang w:eastAsia="zh-CN"/>
        </w:rPr>
        <w:t>单位</w:t>
      </w:r>
      <w:r>
        <w:rPr>
          <w:rFonts w:hint="eastAsia" w:ascii="仿宋_GB2312" w:hAnsi="华文仿宋" w:eastAsia="仿宋_GB2312"/>
          <w:bCs/>
          <w:color w:val="000000"/>
          <w:sz w:val="32"/>
          <w:szCs w:val="32"/>
        </w:rPr>
        <w:t>支出总</w:t>
      </w:r>
      <w:r>
        <w:rPr>
          <w:rFonts w:hint="eastAsia" w:ascii="仿宋_GB2312" w:hAnsi="华文仿宋" w:eastAsia="仿宋_GB2312"/>
          <w:bCs/>
          <w:color w:val="000000"/>
          <w:sz w:val="32"/>
          <w:szCs w:val="32"/>
          <w:lang w:eastAsia="zh-CN"/>
        </w:rPr>
        <w:t>体情况表（预算公开</w:t>
      </w:r>
      <w:r>
        <w:rPr>
          <w:rFonts w:hint="eastAsia" w:ascii="仿宋_GB2312" w:hAnsi="华文仿宋" w:eastAsia="仿宋_GB2312"/>
          <w:bCs/>
          <w:color w:val="000000"/>
          <w:sz w:val="32"/>
          <w:szCs w:val="32"/>
          <w:lang w:val="en-US" w:eastAsia="zh-CN"/>
        </w:rPr>
        <w:t>03表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四</w:t>
      </w:r>
      <w:r>
        <w:rPr>
          <w:rFonts w:hint="eastAsia" w:ascii="仿宋_GB2312" w:hAnsi="华文仿宋" w:eastAsia="仿宋_GB2312"/>
          <w:bCs/>
          <w:color w:val="000000"/>
          <w:sz w:val="32"/>
          <w:szCs w:val="32"/>
        </w:rPr>
        <w:t>、财政拨款收支总</w:t>
      </w:r>
      <w:r>
        <w:rPr>
          <w:rFonts w:hint="eastAsia" w:ascii="仿宋_GB2312" w:hAnsi="华文仿宋" w:eastAsia="仿宋_GB2312"/>
          <w:bCs/>
          <w:color w:val="000000"/>
          <w:sz w:val="32"/>
          <w:szCs w:val="32"/>
          <w:lang w:eastAsia="zh-CN"/>
        </w:rPr>
        <w:t>体情况表（预算公开</w:t>
      </w:r>
      <w:r>
        <w:rPr>
          <w:rFonts w:hint="eastAsia" w:ascii="仿宋_GB2312" w:hAnsi="华文仿宋" w:eastAsia="仿宋_GB2312"/>
          <w:bCs/>
          <w:color w:val="000000"/>
          <w:sz w:val="32"/>
          <w:szCs w:val="32"/>
          <w:lang w:val="en-US" w:eastAsia="zh-CN"/>
        </w:rPr>
        <w:t>04表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五</w:t>
      </w:r>
      <w:r>
        <w:rPr>
          <w:rFonts w:hint="eastAsia" w:ascii="仿宋_GB2312" w:hAnsi="华文仿宋" w:eastAsia="仿宋_GB2312"/>
          <w:bCs/>
          <w:color w:val="000000"/>
          <w:sz w:val="32"/>
          <w:szCs w:val="32"/>
        </w:rPr>
        <w:t>、一般公共预算支出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05表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六</w:t>
      </w:r>
      <w:r>
        <w:rPr>
          <w:rFonts w:hint="eastAsia" w:ascii="仿宋_GB2312" w:hAnsi="华文仿宋" w:eastAsia="仿宋_GB2312"/>
          <w:bCs/>
          <w:color w:val="000000"/>
          <w:sz w:val="32"/>
          <w:szCs w:val="32"/>
        </w:rPr>
        <w:t>、一般公共预算基本支出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06表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七</w:t>
      </w:r>
      <w:r>
        <w:rPr>
          <w:rFonts w:hint="eastAsia" w:ascii="仿宋_GB2312" w:hAnsi="华文仿宋" w:eastAsia="仿宋_GB2312"/>
          <w:bCs/>
          <w:color w:val="000000"/>
          <w:sz w:val="32"/>
          <w:szCs w:val="32"/>
        </w:rPr>
        <w:t>、一般公共预算“三公”经费支出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07表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八、政府性基金预算支出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08表）</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九、国有资本经营预算支出</w:t>
      </w:r>
      <w:r>
        <w:rPr>
          <w:rFonts w:hint="eastAsia" w:ascii="仿宋_GB2312" w:hAnsi="华文仿宋" w:eastAsia="仿宋_GB2312"/>
          <w:bCs/>
          <w:color w:val="000000"/>
          <w:sz w:val="32"/>
          <w:szCs w:val="32"/>
          <w:lang w:eastAsia="zh-CN"/>
        </w:rPr>
        <w:t>情况</w:t>
      </w:r>
      <w:r>
        <w:rPr>
          <w:rFonts w:hint="eastAsia" w:ascii="仿宋_GB2312" w:hAnsi="华文仿宋" w:eastAsia="仿宋_GB2312"/>
          <w:bCs/>
          <w:color w:val="000000"/>
          <w:sz w:val="32"/>
          <w:szCs w:val="32"/>
        </w:rPr>
        <w:t>表</w:t>
      </w:r>
      <w:r>
        <w:rPr>
          <w:rFonts w:hint="eastAsia" w:ascii="仿宋_GB2312" w:hAnsi="华文仿宋" w:eastAsia="仿宋_GB2312"/>
          <w:bCs/>
          <w:color w:val="000000"/>
          <w:sz w:val="32"/>
          <w:szCs w:val="32"/>
          <w:lang w:eastAsia="zh-CN"/>
        </w:rPr>
        <w:t>（预算公开</w:t>
      </w:r>
      <w:r>
        <w:rPr>
          <w:rFonts w:hint="eastAsia" w:ascii="仿宋_GB2312" w:hAnsi="华文仿宋" w:eastAsia="仿宋_GB2312"/>
          <w:bCs/>
          <w:color w:val="000000"/>
          <w:sz w:val="32"/>
          <w:szCs w:val="32"/>
          <w:lang w:val="en-US" w:eastAsia="zh-CN"/>
        </w:rPr>
        <w:t>09表）</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十、政府采购预算表</w:t>
      </w:r>
      <w:r>
        <w:rPr>
          <w:rFonts w:hint="eastAsia" w:ascii="仿宋_GB2312" w:hAnsi="华文仿宋" w:eastAsia="仿宋_GB2312"/>
          <w:bCs/>
          <w:color w:val="000000"/>
          <w:sz w:val="32"/>
          <w:szCs w:val="32"/>
          <w:lang w:eastAsia="zh-CN"/>
        </w:rPr>
        <w:t>（预算公开</w:t>
      </w:r>
      <w:r>
        <w:rPr>
          <w:rFonts w:hint="eastAsia" w:ascii="仿宋_GB2312" w:hAnsi="华文仿宋" w:eastAsia="仿宋_GB2312"/>
          <w:bCs/>
          <w:color w:val="000000"/>
          <w:sz w:val="32"/>
          <w:szCs w:val="32"/>
          <w:lang w:val="en-US" w:eastAsia="zh-CN"/>
        </w:rPr>
        <w:t>10表）</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十一、政府购买服务预算表</w:t>
      </w:r>
      <w:r>
        <w:rPr>
          <w:rFonts w:hint="eastAsia" w:ascii="仿宋_GB2312" w:hAnsi="华文仿宋" w:eastAsia="仿宋_GB2312"/>
          <w:bCs/>
          <w:color w:val="000000"/>
          <w:sz w:val="32"/>
          <w:szCs w:val="32"/>
          <w:lang w:eastAsia="zh-CN"/>
        </w:rPr>
        <w:t>（预算公开</w:t>
      </w:r>
      <w:r>
        <w:rPr>
          <w:rFonts w:hint="eastAsia" w:ascii="仿宋_GB2312" w:hAnsi="华文仿宋" w:eastAsia="仿宋_GB2312"/>
          <w:bCs/>
          <w:color w:val="000000"/>
          <w:sz w:val="32"/>
          <w:szCs w:val="32"/>
          <w:lang w:val="en-US" w:eastAsia="zh-CN"/>
        </w:rPr>
        <w:t>11表）</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3" w:firstLineChars="200"/>
        <w:textAlignment w:val="auto"/>
        <w:rPr>
          <w:rFonts w:hint="eastAsia" w:ascii="仿宋_GB2312" w:hAnsi="华文仿宋" w:eastAsia="仿宋_GB2312"/>
          <w:b/>
          <w:bCs/>
          <w:color w:val="000000"/>
          <w:sz w:val="32"/>
          <w:szCs w:val="32"/>
        </w:rPr>
      </w:pPr>
      <w:r>
        <w:rPr>
          <w:rFonts w:hint="eastAsia" w:ascii="仿宋_GB2312" w:hAnsi="华文仿宋" w:eastAsia="仿宋_GB2312"/>
          <w:b/>
          <w:bCs/>
          <w:color w:val="000000"/>
          <w:sz w:val="32"/>
          <w:szCs w:val="32"/>
        </w:rPr>
        <w:t>第三部分：</w:t>
      </w:r>
      <w:r>
        <w:rPr>
          <w:rFonts w:hint="eastAsia" w:ascii="仿宋_GB2312" w:hAnsi="华文仿宋" w:eastAsia="仿宋_GB2312"/>
          <w:b/>
          <w:bCs/>
          <w:color w:val="000000"/>
          <w:sz w:val="32"/>
          <w:szCs w:val="32"/>
          <w:lang w:val="en-US" w:eastAsia="zh-CN"/>
        </w:rPr>
        <w:t>柳州市储备粮管理中心2021年</w:t>
      </w:r>
      <w:r>
        <w:rPr>
          <w:rFonts w:hint="eastAsia" w:ascii="仿宋_GB2312" w:hAnsi="华文仿宋" w:eastAsia="仿宋_GB2312"/>
          <w:b/>
          <w:bCs/>
          <w:color w:val="000000"/>
          <w:sz w:val="32"/>
          <w:szCs w:val="32"/>
        </w:rPr>
        <w:t>预算</w:t>
      </w:r>
      <w:r>
        <w:rPr>
          <w:rFonts w:hint="eastAsia" w:ascii="仿宋_GB2312" w:hAnsi="华文仿宋" w:eastAsia="仿宋_GB2312"/>
          <w:b/>
          <w:bCs/>
          <w:color w:val="000000"/>
          <w:sz w:val="32"/>
          <w:szCs w:val="32"/>
          <w:lang w:eastAsia="zh-CN"/>
        </w:rPr>
        <w:t>情况</w:t>
      </w:r>
      <w:r>
        <w:rPr>
          <w:rFonts w:hint="eastAsia" w:ascii="仿宋_GB2312" w:hAnsi="华文仿宋" w:eastAsia="仿宋_GB2312"/>
          <w:b/>
          <w:bCs/>
          <w:color w:val="000000"/>
          <w:sz w:val="32"/>
          <w:szCs w:val="32"/>
        </w:rPr>
        <w:t>说明</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3" w:firstLineChars="200"/>
        <w:textAlignment w:val="auto"/>
        <w:rPr>
          <w:rFonts w:hint="eastAsia" w:ascii="仿宋_GB2312" w:hAnsi="华文仿宋" w:eastAsia="仿宋_GB2312"/>
          <w:b/>
          <w:bCs/>
          <w:color w:val="000000"/>
          <w:sz w:val="32"/>
          <w:szCs w:val="32"/>
        </w:rPr>
      </w:pPr>
      <w:r>
        <w:rPr>
          <w:rFonts w:hint="eastAsia" w:ascii="仿宋_GB2312" w:hAnsi="华文仿宋" w:eastAsia="仿宋_GB2312"/>
          <w:b/>
          <w:bCs/>
          <w:color w:val="000000"/>
          <w:sz w:val="32"/>
          <w:szCs w:val="32"/>
        </w:rPr>
        <w:t>第四部分：名词解释</w:t>
      </w:r>
    </w:p>
    <w:p>
      <w:pPr>
        <w:keepNext w:val="0"/>
        <w:keepLines w:val="0"/>
        <w:pageBreakBefore w:val="0"/>
        <w:kinsoku/>
        <w:wordWrap/>
        <w:overflowPunct/>
        <w:topLinePunct w:val="0"/>
        <w:autoSpaceDE/>
        <w:autoSpaceDN/>
        <w:bidi w:val="0"/>
        <w:spacing w:line="560" w:lineRule="exact"/>
        <w:textAlignment w:val="auto"/>
        <w:rPr>
          <w:rStyle w:val="6"/>
          <w:rFonts w:hint="eastAsia" w:ascii="仿宋_GB2312" w:hAnsi="华文仿宋" w:eastAsia="仿宋_GB2312" w:cs="宋体"/>
          <w:color w:val="000000"/>
          <w:kern w:val="0"/>
          <w:sz w:val="32"/>
          <w:szCs w:val="32"/>
        </w:rPr>
      </w:pPr>
    </w:p>
    <w:p>
      <w:pPr>
        <w:keepNext w:val="0"/>
        <w:keepLines w:val="0"/>
        <w:pageBreakBefore w:val="0"/>
        <w:kinsoku/>
        <w:wordWrap/>
        <w:overflowPunct/>
        <w:topLinePunct w:val="0"/>
        <w:autoSpaceDE/>
        <w:autoSpaceDN/>
        <w:bidi w:val="0"/>
        <w:adjustRightInd w:val="0"/>
        <w:snapToGrid w:val="0"/>
        <w:spacing w:line="560" w:lineRule="exact"/>
        <w:ind w:right="-218" w:rightChars="-104"/>
        <w:jc w:val="center"/>
        <w:textAlignment w:val="auto"/>
        <w:rPr>
          <w:rStyle w:val="6"/>
          <w:rFonts w:hint="eastAsia" w:ascii="仿宋_GB2312" w:hAnsi="华文仿宋" w:eastAsia="仿宋_GB2312"/>
          <w:color w:val="000000"/>
          <w:sz w:val="32"/>
          <w:szCs w:val="32"/>
          <w:highlight w:val="yellow"/>
        </w:rPr>
      </w:pPr>
    </w:p>
    <w:p>
      <w:pPr>
        <w:keepNext w:val="0"/>
        <w:keepLines w:val="0"/>
        <w:pageBreakBefore w:val="0"/>
        <w:kinsoku/>
        <w:wordWrap/>
        <w:overflowPunct/>
        <w:topLinePunct w:val="0"/>
        <w:autoSpaceDE/>
        <w:autoSpaceDN/>
        <w:bidi w:val="0"/>
        <w:adjustRightInd w:val="0"/>
        <w:snapToGrid w:val="0"/>
        <w:spacing w:line="560" w:lineRule="exact"/>
        <w:ind w:right="-218" w:rightChars="-104"/>
        <w:jc w:val="center"/>
        <w:textAlignment w:val="auto"/>
        <w:rPr>
          <w:rStyle w:val="6"/>
          <w:rFonts w:hint="eastAsia" w:ascii="仿宋_GB2312" w:hAnsi="华文仿宋" w:eastAsia="仿宋_GB2312"/>
          <w:color w:val="000000"/>
          <w:sz w:val="32"/>
          <w:szCs w:val="32"/>
          <w:highlight w:val="none"/>
        </w:rPr>
      </w:pPr>
      <w:r>
        <w:rPr>
          <w:rStyle w:val="6"/>
          <w:rFonts w:hint="eastAsia" w:ascii="仿宋_GB2312" w:hAnsi="华文仿宋" w:eastAsia="仿宋_GB2312"/>
          <w:color w:val="000000"/>
          <w:sz w:val="32"/>
          <w:szCs w:val="32"/>
          <w:highlight w:val="none"/>
        </w:rPr>
        <w:t>第一部分：</w:t>
      </w:r>
      <w:r>
        <w:rPr>
          <w:rStyle w:val="6"/>
          <w:rFonts w:hint="eastAsia" w:ascii="仿宋_GB2312" w:hAnsi="华文仿宋" w:eastAsia="仿宋_GB2312"/>
          <w:color w:val="000000"/>
          <w:sz w:val="32"/>
          <w:szCs w:val="32"/>
          <w:highlight w:val="none"/>
          <w:lang w:val="en-US" w:eastAsia="zh-CN"/>
        </w:rPr>
        <w:t>柳州市储备粮管理中心</w:t>
      </w:r>
      <w:r>
        <w:rPr>
          <w:rStyle w:val="6"/>
          <w:rFonts w:hint="eastAsia" w:ascii="仿宋_GB2312" w:hAnsi="华文仿宋" w:eastAsia="仿宋_GB2312"/>
          <w:color w:val="000000"/>
          <w:sz w:val="32"/>
          <w:szCs w:val="32"/>
          <w:highlight w:val="none"/>
        </w:rPr>
        <w:t>概况</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3" w:firstLineChars="200"/>
        <w:jc w:val="both"/>
        <w:textAlignment w:val="auto"/>
        <w:outlineLvl w:val="9"/>
        <w:rPr>
          <w:rFonts w:hint="eastAsia" w:ascii="黑体" w:hAnsi="黑体" w:eastAsia="黑体" w:cs="黑体"/>
          <w:b/>
          <w:bCs/>
          <w:color w:val="000000"/>
          <w:sz w:val="32"/>
          <w:szCs w:val="32"/>
        </w:rPr>
      </w:pPr>
      <w:r>
        <w:rPr>
          <w:rFonts w:hint="eastAsia" w:ascii="黑体" w:hAnsi="黑体" w:eastAsia="黑体" w:cs="黑体"/>
          <w:b/>
          <w:bCs/>
          <w:color w:val="000000"/>
          <w:sz w:val="32"/>
          <w:szCs w:val="32"/>
        </w:rPr>
        <w:t>一、主要职责</w:t>
      </w:r>
    </w:p>
    <w:p>
      <w:pPr>
        <w:spacing w:line="500" w:lineRule="exact"/>
        <w:ind w:firstLine="556" w:firstLineChars="174"/>
        <w:jc w:val="both"/>
        <w:rPr>
          <w:rFonts w:hint="eastAsia" w:ascii="仿宋_GB2312" w:hAnsi="宋体" w:eastAsia="仿宋_GB2312"/>
          <w:sz w:val="32"/>
          <w:szCs w:val="32"/>
        </w:rPr>
      </w:pPr>
      <w:r>
        <w:rPr>
          <w:rFonts w:hint="eastAsia" w:ascii="仿宋_GB2312" w:hAnsi="宋体" w:eastAsia="仿宋_GB2312"/>
          <w:sz w:val="32"/>
          <w:szCs w:val="32"/>
        </w:rPr>
        <w:t>中心主要担负着全市的储备粮管理、军粮供应管理</w:t>
      </w:r>
      <w:r>
        <w:rPr>
          <w:rFonts w:hint="eastAsia" w:ascii="仿宋_GB2312" w:hAnsi="宋体" w:eastAsia="仿宋_GB2312"/>
          <w:sz w:val="32"/>
          <w:szCs w:val="32"/>
          <w:lang w:eastAsia="zh-CN"/>
        </w:rPr>
        <w:t>工作</w:t>
      </w:r>
      <w:r>
        <w:rPr>
          <w:rFonts w:hint="eastAsia" w:ascii="仿宋_GB2312" w:hAnsi="宋体" w:eastAsia="仿宋_GB2312"/>
          <w:sz w:val="32"/>
          <w:szCs w:val="32"/>
        </w:rPr>
        <w:t>，具体如下：</w:t>
      </w:r>
    </w:p>
    <w:p>
      <w:pPr>
        <w:spacing w:line="500" w:lineRule="exact"/>
        <w:ind w:firstLine="238" w:firstLineChars="74"/>
        <w:jc w:val="both"/>
        <w:rPr>
          <w:rFonts w:hint="eastAsia" w:ascii="仿宋_GB2312" w:hAnsi="宋体" w:eastAsia="仿宋_GB2312"/>
          <w:b/>
          <w:sz w:val="32"/>
          <w:szCs w:val="32"/>
        </w:rPr>
      </w:pPr>
      <w:r>
        <w:rPr>
          <w:rFonts w:hint="eastAsia" w:ascii="仿宋_GB2312" w:hAnsi="宋体" w:eastAsia="仿宋_GB2312"/>
          <w:b/>
          <w:sz w:val="32"/>
          <w:szCs w:val="32"/>
          <w:lang w:eastAsia="zh-CN"/>
        </w:rPr>
        <w:t>（</w:t>
      </w:r>
      <w:r>
        <w:rPr>
          <w:rFonts w:hint="eastAsia" w:ascii="仿宋_GB2312" w:hAnsi="宋体" w:eastAsia="仿宋_GB2312"/>
          <w:b/>
          <w:sz w:val="32"/>
          <w:szCs w:val="32"/>
          <w:lang w:val="en-US" w:eastAsia="zh-CN"/>
        </w:rPr>
        <w:t>一</w:t>
      </w:r>
      <w:r>
        <w:rPr>
          <w:rFonts w:hint="eastAsia" w:ascii="仿宋_GB2312" w:hAnsi="宋体" w:eastAsia="仿宋_GB2312"/>
          <w:b/>
          <w:sz w:val="32"/>
          <w:szCs w:val="32"/>
          <w:lang w:eastAsia="zh-CN"/>
        </w:rPr>
        <w:t>）</w:t>
      </w:r>
      <w:r>
        <w:rPr>
          <w:rFonts w:hint="eastAsia" w:ascii="仿宋_GB2312" w:hAnsi="宋体" w:eastAsia="仿宋_GB2312"/>
          <w:b/>
          <w:sz w:val="32"/>
          <w:szCs w:val="32"/>
        </w:rPr>
        <w:t>储备粮管理职能</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olor w:val="000000"/>
          <w:sz w:val="32"/>
          <w:szCs w:val="32"/>
          <w:lang w:eastAsia="zh-CN"/>
        </w:rPr>
      </w:pPr>
      <w:r>
        <w:rPr>
          <w:rFonts w:hint="eastAsia" w:ascii="仿宋_GB2312" w:hAnsi="华文仿宋" w:eastAsia="仿宋_GB2312"/>
          <w:color w:val="000000"/>
          <w:sz w:val="32"/>
          <w:szCs w:val="32"/>
          <w:lang w:eastAsia="zh-CN"/>
        </w:rPr>
        <w:t>1</w:t>
      </w:r>
      <w:r>
        <w:rPr>
          <w:rFonts w:hint="eastAsia" w:ascii="仿宋_GB2312" w:hAnsi="华文仿宋" w:eastAsia="仿宋_GB2312"/>
          <w:color w:val="000000"/>
          <w:sz w:val="32"/>
          <w:szCs w:val="32"/>
          <w:lang w:val="en-US" w:eastAsia="zh-CN"/>
        </w:rPr>
        <w:t>.</w:t>
      </w:r>
      <w:r>
        <w:rPr>
          <w:rFonts w:hint="eastAsia" w:ascii="仿宋_GB2312" w:hAnsi="华文仿宋" w:eastAsia="仿宋_GB2312"/>
          <w:color w:val="000000"/>
          <w:sz w:val="32"/>
          <w:szCs w:val="32"/>
          <w:lang w:eastAsia="zh-CN"/>
        </w:rPr>
        <w:t>协助开展市级储备粮、储备成品粮油的库存数量、质量和储存安全的监督检查工作 ；</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olor w:val="000000"/>
          <w:sz w:val="32"/>
          <w:szCs w:val="32"/>
          <w:lang w:eastAsia="zh-CN"/>
        </w:rPr>
      </w:pPr>
      <w:r>
        <w:rPr>
          <w:rFonts w:hint="eastAsia" w:ascii="仿宋_GB2312" w:hAnsi="华文仿宋" w:eastAsia="仿宋_GB2312"/>
          <w:color w:val="000000"/>
          <w:sz w:val="32"/>
          <w:szCs w:val="32"/>
          <w:lang w:eastAsia="zh-CN"/>
        </w:rPr>
        <w:t>2.负责制订和落实市级储备粮年度轮换计划，提出市级储备粮规模、布局建议；</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olor w:val="000000"/>
          <w:sz w:val="32"/>
          <w:szCs w:val="32"/>
          <w:lang w:eastAsia="zh-CN"/>
        </w:rPr>
      </w:pPr>
      <w:r>
        <w:rPr>
          <w:rFonts w:hint="eastAsia" w:ascii="仿宋_GB2312" w:hAnsi="华文仿宋" w:eastAsia="仿宋_GB2312"/>
          <w:color w:val="000000"/>
          <w:sz w:val="32"/>
          <w:szCs w:val="32"/>
          <w:lang w:eastAsia="zh-CN"/>
        </w:rPr>
        <w:t>3.负责建立市级储备粮质量档案，起草市级储备粮管理有关规章制度、考评办法等；</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olor w:val="000000"/>
          <w:sz w:val="32"/>
          <w:szCs w:val="32"/>
          <w:lang w:eastAsia="zh-CN"/>
        </w:rPr>
      </w:pPr>
      <w:r>
        <w:rPr>
          <w:rFonts w:hint="eastAsia" w:ascii="仿宋_GB2312" w:hAnsi="华文仿宋" w:eastAsia="仿宋_GB2312"/>
          <w:color w:val="000000"/>
          <w:sz w:val="32"/>
          <w:szCs w:val="32"/>
          <w:lang w:eastAsia="zh-CN"/>
        </w:rPr>
        <w:t>4.负责对我市各县区的储备粮管理工作进行业务指导，对县级储备粮规模、轮换工作提出合理化建议；</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olor w:val="000000"/>
          <w:sz w:val="32"/>
          <w:szCs w:val="32"/>
          <w:lang w:eastAsia="zh-CN"/>
        </w:rPr>
      </w:pPr>
      <w:r>
        <w:rPr>
          <w:rFonts w:hint="eastAsia" w:ascii="仿宋_GB2312" w:hAnsi="华文仿宋" w:eastAsia="仿宋_GB2312"/>
          <w:color w:val="000000"/>
          <w:sz w:val="32"/>
          <w:szCs w:val="32"/>
          <w:lang w:eastAsia="zh-CN"/>
        </w:rPr>
        <w:t>5.负责组织全市粮食保化队伍人员培训及粮油仓储管理新技术的应用和推广工作；</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olor w:val="000000"/>
          <w:sz w:val="32"/>
          <w:szCs w:val="32"/>
          <w:lang w:eastAsia="zh-CN"/>
        </w:rPr>
      </w:pPr>
      <w:r>
        <w:rPr>
          <w:rFonts w:hint="eastAsia" w:ascii="仿宋_GB2312" w:hAnsi="华文仿宋" w:eastAsia="仿宋_GB2312"/>
          <w:color w:val="000000"/>
          <w:sz w:val="32"/>
          <w:szCs w:val="32"/>
          <w:lang w:eastAsia="zh-CN"/>
        </w:rPr>
        <w:t>6.协助开展全市社会粮食流通统计、全市粮食库存检查、粮油安全普查工作；</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olor w:val="000000"/>
          <w:sz w:val="32"/>
          <w:szCs w:val="32"/>
          <w:lang w:eastAsia="zh-CN"/>
        </w:rPr>
      </w:pPr>
      <w:r>
        <w:rPr>
          <w:rFonts w:hint="eastAsia" w:ascii="仿宋_GB2312" w:hAnsi="华文仿宋" w:eastAsia="仿宋_GB2312"/>
          <w:color w:val="000000"/>
          <w:sz w:val="32"/>
          <w:szCs w:val="32"/>
          <w:lang w:eastAsia="zh-CN"/>
        </w:rPr>
        <w:t>7.负责收集、整理、汇总、上报各类仓储管理报表资料；</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olor w:val="000000"/>
          <w:sz w:val="32"/>
          <w:szCs w:val="32"/>
          <w:lang w:eastAsia="zh-CN"/>
        </w:rPr>
      </w:pPr>
      <w:r>
        <w:rPr>
          <w:rFonts w:hint="eastAsia" w:ascii="仿宋_GB2312" w:hAnsi="华文仿宋" w:eastAsia="仿宋_GB2312"/>
          <w:color w:val="000000"/>
          <w:sz w:val="32"/>
          <w:szCs w:val="32"/>
          <w:lang w:eastAsia="zh-CN"/>
        </w:rPr>
        <w:t>8.完成主管部门交办的其他任务。</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olor w:val="000000"/>
          <w:sz w:val="32"/>
          <w:szCs w:val="32"/>
          <w:lang w:eastAsia="zh-CN"/>
        </w:rPr>
      </w:pPr>
      <w:r>
        <w:rPr>
          <w:rFonts w:hint="eastAsia" w:ascii="仿宋_GB2312" w:hAnsi="华文仿宋" w:eastAsia="仿宋_GB2312"/>
          <w:color w:val="000000"/>
          <w:sz w:val="32"/>
          <w:szCs w:val="32"/>
          <w:lang w:eastAsia="zh-CN"/>
        </w:rPr>
        <w:t>储备粮管理主要工作目标：对全市市级储备粮进行监管，确保市级储备粮数量真实，质量良好，储存安全，确保在任何情况下调得动、用得上。</w:t>
      </w:r>
    </w:p>
    <w:p>
      <w:pPr>
        <w:spacing w:line="500" w:lineRule="exact"/>
        <w:ind w:firstLine="238" w:firstLineChars="74"/>
        <w:jc w:val="both"/>
        <w:rPr>
          <w:rFonts w:hint="eastAsia" w:ascii="仿宋_GB2312" w:hAnsi="宋体" w:eastAsia="仿宋_GB2312"/>
          <w:b/>
          <w:sz w:val="32"/>
          <w:szCs w:val="32"/>
        </w:rPr>
      </w:pPr>
      <w:r>
        <w:rPr>
          <w:rFonts w:hint="eastAsia" w:ascii="仿宋_GB2312" w:hAnsi="宋体" w:eastAsia="仿宋_GB2312"/>
          <w:b/>
          <w:sz w:val="32"/>
          <w:szCs w:val="32"/>
          <w:lang w:eastAsia="zh-CN"/>
        </w:rPr>
        <w:t>（</w:t>
      </w:r>
      <w:r>
        <w:rPr>
          <w:rFonts w:hint="eastAsia" w:ascii="仿宋_GB2312" w:hAnsi="宋体" w:eastAsia="仿宋_GB2312"/>
          <w:b/>
          <w:sz w:val="32"/>
          <w:szCs w:val="32"/>
          <w:lang w:val="en-US" w:eastAsia="zh-CN"/>
        </w:rPr>
        <w:t>二</w:t>
      </w:r>
      <w:r>
        <w:rPr>
          <w:rFonts w:hint="eastAsia" w:ascii="仿宋_GB2312" w:hAnsi="宋体" w:eastAsia="仿宋_GB2312"/>
          <w:b/>
          <w:sz w:val="32"/>
          <w:szCs w:val="32"/>
          <w:lang w:eastAsia="zh-CN"/>
        </w:rPr>
        <w:t>）</w:t>
      </w:r>
      <w:r>
        <w:rPr>
          <w:rFonts w:hint="eastAsia" w:ascii="仿宋_GB2312" w:hAnsi="宋体" w:eastAsia="仿宋_GB2312"/>
          <w:b/>
          <w:sz w:val="32"/>
          <w:szCs w:val="32"/>
        </w:rPr>
        <w:t>军粮供应管理职能</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olor w:val="000000"/>
          <w:sz w:val="32"/>
          <w:szCs w:val="32"/>
          <w:lang w:eastAsia="zh-CN"/>
        </w:rPr>
      </w:pPr>
      <w:r>
        <w:rPr>
          <w:rFonts w:hint="eastAsia" w:ascii="仿宋_GB2312" w:hAnsi="华文仿宋" w:eastAsia="仿宋_GB2312"/>
          <w:color w:val="000000"/>
          <w:sz w:val="32"/>
          <w:szCs w:val="32"/>
          <w:lang w:eastAsia="zh-CN"/>
        </w:rPr>
        <w:t>1.负责建立和完善市级和五县一区军粮管理制度，将军粮供应管理工作纳入规范化、法制化管理轨道；</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olor w:val="000000"/>
          <w:sz w:val="32"/>
          <w:szCs w:val="32"/>
          <w:lang w:eastAsia="zh-CN"/>
        </w:rPr>
      </w:pPr>
      <w:r>
        <w:rPr>
          <w:rFonts w:hint="eastAsia" w:ascii="仿宋_GB2312" w:hAnsi="华文仿宋" w:eastAsia="仿宋_GB2312"/>
          <w:color w:val="000000"/>
          <w:sz w:val="32"/>
          <w:szCs w:val="32"/>
          <w:lang w:eastAsia="zh-CN"/>
        </w:rPr>
        <w:t>2.负责全市军粮供应站（代供点）军粮需求的收集、汇总和上报，协助监督检查全市军粮配送计划执行、军粮质量、军粮财务、军粮供应政策落实等情况；</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olor w:val="000000"/>
          <w:sz w:val="32"/>
          <w:szCs w:val="32"/>
          <w:lang w:eastAsia="zh-CN"/>
        </w:rPr>
      </w:pPr>
      <w:r>
        <w:rPr>
          <w:rFonts w:hint="eastAsia" w:ascii="仿宋_GB2312" w:hAnsi="华文仿宋" w:eastAsia="仿宋_GB2312"/>
          <w:color w:val="000000"/>
          <w:sz w:val="32"/>
          <w:szCs w:val="32"/>
          <w:lang w:eastAsia="zh-CN"/>
        </w:rPr>
        <w:t>3.负责全市军粮款项的拨付、结算工作，监督、检查各军供站（代供点）军粮财务情况；</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olor w:val="000000"/>
          <w:sz w:val="32"/>
          <w:szCs w:val="32"/>
          <w:lang w:eastAsia="zh-CN"/>
        </w:rPr>
      </w:pPr>
      <w:r>
        <w:rPr>
          <w:rFonts w:hint="eastAsia" w:ascii="仿宋_GB2312" w:hAnsi="华文仿宋" w:eastAsia="仿宋_GB2312"/>
          <w:color w:val="000000"/>
          <w:sz w:val="32"/>
          <w:szCs w:val="32"/>
          <w:lang w:eastAsia="zh-CN"/>
        </w:rPr>
        <w:t>4.协助认定和审核全市军粮供应站（代供点）资格，负责组织全市军供从业人员业务培训；</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olor w:val="000000"/>
          <w:sz w:val="32"/>
          <w:szCs w:val="32"/>
          <w:lang w:eastAsia="zh-CN"/>
        </w:rPr>
      </w:pPr>
      <w:r>
        <w:rPr>
          <w:rFonts w:hint="eastAsia" w:ascii="仿宋_GB2312" w:hAnsi="华文仿宋" w:eastAsia="仿宋_GB2312"/>
          <w:color w:val="000000"/>
          <w:sz w:val="32"/>
          <w:szCs w:val="32"/>
          <w:lang w:eastAsia="zh-CN"/>
        </w:rPr>
        <w:t>5.协助上级部门做好我市辖区内军供网点建设的汇总和上报；</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olor w:val="000000"/>
          <w:sz w:val="32"/>
          <w:szCs w:val="32"/>
          <w:lang w:eastAsia="zh-CN"/>
        </w:rPr>
      </w:pPr>
      <w:r>
        <w:rPr>
          <w:rFonts w:hint="eastAsia" w:ascii="仿宋_GB2312" w:hAnsi="华文仿宋" w:eastAsia="仿宋_GB2312"/>
          <w:color w:val="000000"/>
          <w:sz w:val="32"/>
          <w:szCs w:val="32"/>
          <w:lang w:eastAsia="zh-CN"/>
        </w:rPr>
        <w:t>6.审核上报各类军供报表；</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olor w:val="000000"/>
          <w:sz w:val="32"/>
          <w:szCs w:val="32"/>
          <w:lang w:eastAsia="zh-CN"/>
        </w:rPr>
      </w:pPr>
      <w:r>
        <w:rPr>
          <w:rFonts w:hint="eastAsia" w:ascii="仿宋_GB2312" w:hAnsi="华文仿宋" w:eastAsia="仿宋_GB2312"/>
          <w:color w:val="000000"/>
          <w:sz w:val="32"/>
          <w:szCs w:val="32"/>
          <w:lang w:eastAsia="zh-CN"/>
        </w:rPr>
        <w:t>7.完成主管部门交办的其他任务。</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sz w:val="32"/>
          <w:szCs w:val="32"/>
          <w:highlight w:val="cyan"/>
        </w:rPr>
      </w:pPr>
      <w:r>
        <w:rPr>
          <w:rFonts w:hint="eastAsia" w:ascii="仿宋_GB2312" w:hAnsi="华文仿宋" w:eastAsia="仿宋_GB2312"/>
          <w:color w:val="000000"/>
          <w:sz w:val="32"/>
          <w:szCs w:val="32"/>
          <w:lang w:eastAsia="zh-CN"/>
        </w:rPr>
        <w:t>军粮供应管理工作目标：负责全市军粮供应管理工作，监督检查全市供应网点军粮质量、军粮财务情况，指导军粮供应单位开展业务，搞好驻地部队军粮供应保障工作。</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3" w:firstLineChars="200"/>
        <w:jc w:val="both"/>
        <w:textAlignment w:val="auto"/>
        <w:outlineLvl w:val="9"/>
        <w:rPr>
          <w:rFonts w:hint="eastAsia" w:ascii="黑体" w:hAnsi="黑体" w:eastAsia="黑体" w:cs="黑体"/>
          <w:b/>
          <w:bCs/>
          <w:color w:val="000000"/>
          <w:sz w:val="32"/>
          <w:szCs w:val="32"/>
        </w:rPr>
      </w:pPr>
      <w:r>
        <w:rPr>
          <w:rFonts w:hint="eastAsia" w:ascii="黑体" w:hAnsi="黑体" w:eastAsia="黑体" w:cs="黑体"/>
          <w:b/>
          <w:bCs/>
          <w:color w:val="000000"/>
          <w:sz w:val="32"/>
          <w:szCs w:val="32"/>
        </w:rPr>
        <w:t>二、机构设置情况</w:t>
      </w:r>
    </w:p>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before="156" w:after="156" w:line="500" w:lineRule="exact"/>
        <w:ind w:firstLine="640" w:firstLineChars="200"/>
        <w:jc w:val="both"/>
        <w:rPr>
          <w:rFonts w:ascii="仿宋_GB2312" w:hAnsi="仿宋_GB2312" w:eastAsia="仿宋_GB2312"/>
          <w:sz w:val="32"/>
        </w:rPr>
      </w:pPr>
      <w:r>
        <w:rPr>
          <w:rFonts w:hint="eastAsia" w:ascii="仿宋_GB2312" w:hAnsi="华文仿宋" w:eastAsia="仿宋_GB2312"/>
          <w:color w:val="000000"/>
          <w:sz w:val="32"/>
          <w:szCs w:val="32"/>
          <w:lang w:val="en-US" w:eastAsia="zh-CN"/>
        </w:rPr>
        <w:t>根据三定方案，柳州市储备粮管理中心为市发改委管理的正科级公益一类全额拨款事业单位。</w:t>
      </w:r>
      <w:r>
        <w:rPr>
          <w:rFonts w:ascii="仿宋_GB2312" w:hAnsi="仿宋_GB2312" w:eastAsia="仿宋_GB2312"/>
          <w:sz w:val="32"/>
        </w:rPr>
        <w:t xml:space="preserve">     </w:t>
      </w:r>
    </w:p>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before="156" w:after="156" w:line="500" w:lineRule="exact"/>
        <w:ind w:firstLine="643" w:firstLineChars="200"/>
        <w:jc w:val="center"/>
        <w:rPr>
          <w:rFonts w:ascii="仿宋_GB2312" w:hAnsi="仿宋_GB2312" w:eastAsia="仿宋_GB2312"/>
          <w:b/>
          <w:bCs/>
          <w:sz w:val="32"/>
        </w:rPr>
      </w:pPr>
      <w:r>
        <w:rPr>
          <w:rFonts w:hint="eastAsia" w:ascii="仿宋_GB2312" w:hAnsi="仿宋_GB2312" w:eastAsia="仿宋_GB2312"/>
          <w:b/>
          <w:bCs/>
          <w:sz w:val="32"/>
          <w:lang w:val="en-US" w:eastAsia="zh-CN"/>
        </w:rPr>
        <w:t>基本情况表</w:t>
      </w:r>
    </w:p>
    <w:tbl>
      <w:tblPr>
        <w:tblStyle w:val="4"/>
        <w:tblW w:w="9105" w:type="dxa"/>
        <w:tblInd w:w="-1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0" w:type="dxa"/>
          <w:left w:w="30" w:type="dxa"/>
          <w:bottom w:w="0" w:type="dxa"/>
          <w:right w:w="20" w:type="dxa"/>
        </w:tblCellMar>
      </w:tblPr>
      <w:tblGrid>
        <w:gridCol w:w="1635"/>
        <w:gridCol w:w="1658"/>
        <w:gridCol w:w="709"/>
        <w:gridCol w:w="850"/>
        <w:gridCol w:w="851"/>
        <w:gridCol w:w="708"/>
        <w:gridCol w:w="1056"/>
        <w:gridCol w:w="900"/>
        <w:gridCol w:w="7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30" w:type="dxa"/>
            <w:bottom w:w="0" w:type="dxa"/>
            <w:right w:w="20" w:type="dxa"/>
          </w:tblCellMar>
        </w:tblPrEx>
        <w:trPr>
          <w:trHeight w:val="1811" w:hRule="atLeast"/>
        </w:trPr>
        <w:tc>
          <w:tcPr>
            <w:tcW w:w="1635" w:type="dxa"/>
            <w:tcBorders>
              <w:top w:val="single" w:color="auto" w:sz="4" w:space="0"/>
              <w:left w:val="single" w:color="auto" w:sz="4" w:space="0"/>
              <w:bottom w:val="single" w:color="auto" w:sz="4" w:space="0"/>
              <w:right w:val="single" w:color="auto" w:sz="4" w:space="0"/>
            </w:tcBorders>
            <w:noWrap w:val="0"/>
            <w:vAlign w:val="center"/>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ind w:firstLine="105"/>
              <w:jc w:val="center"/>
              <w:rPr>
                <w:rFonts w:ascii="仿宋_GB2312" w:hAnsi="仿宋_GB2312" w:eastAsia="仿宋_GB2312"/>
                <w:sz w:val="32"/>
              </w:rPr>
            </w:pPr>
            <w:r>
              <w:rPr>
                <w:rFonts w:ascii="仿宋_GB2312" w:hAnsi="仿宋_GB2312" w:eastAsia="仿宋_GB2312"/>
                <w:sz w:val="32"/>
              </w:rPr>
              <w:t>单位</w:t>
            </w:r>
            <w:r>
              <w:rPr>
                <w:rFonts w:ascii="仿宋_GB2312" w:hAnsi="仿宋_GB2312" w:eastAsia="仿宋_GB2312"/>
                <w:sz w:val="32"/>
              </w:rPr>
              <w:br w:type="textWrapping"/>
            </w:r>
            <w:r>
              <w:rPr>
                <w:rFonts w:ascii="仿宋_GB2312" w:hAnsi="仿宋_GB2312" w:eastAsia="仿宋_GB2312"/>
                <w:sz w:val="32"/>
              </w:rPr>
              <w:t>名称</w:t>
            </w:r>
          </w:p>
        </w:tc>
        <w:tc>
          <w:tcPr>
            <w:tcW w:w="1658" w:type="dxa"/>
            <w:tcBorders>
              <w:top w:val="single" w:color="auto" w:sz="4" w:space="0"/>
              <w:left w:val="single" w:color="auto" w:sz="4" w:space="0"/>
              <w:bottom w:val="single" w:color="auto" w:sz="4" w:space="0"/>
              <w:right w:val="single" w:color="auto" w:sz="4" w:space="0"/>
            </w:tcBorders>
            <w:noWrap w:val="0"/>
            <w:tcMar>
              <w:left w:w="20" w:type="dxa"/>
            </w:tcMar>
            <w:vAlign w:val="center"/>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jc w:val="center"/>
              <w:rPr>
                <w:rFonts w:ascii="仿宋_GB2312" w:hAnsi="仿宋_GB2312" w:eastAsia="仿宋_GB2312"/>
                <w:sz w:val="32"/>
              </w:rPr>
            </w:pPr>
            <w:r>
              <w:rPr>
                <w:rFonts w:ascii="仿宋_GB2312" w:hAnsi="仿宋_GB2312" w:eastAsia="仿宋_GB2312"/>
                <w:sz w:val="32"/>
              </w:rPr>
              <w:t>单位</w:t>
            </w:r>
            <w:r>
              <w:rPr>
                <w:rFonts w:ascii="仿宋_GB2312" w:hAnsi="仿宋_GB2312" w:eastAsia="仿宋_GB2312"/>
                <w:sz w:val="32"/>
              </w:rPr>
              <w:br w:type="textWrapping"/>
            </w:r>
            <w:r>
              <w:rPr>
                <w:rFonts w:ascii="仿宋_GB2312" w:hAnsi="仿宋_GB2312" w:eastAsia="仿宋_GB2312"/>
                <w:sz w:val="32"/>
              </w:rPr>
              <w:t>性质</w:t>
            </w:r>
            <w:r>
              <w:rPr>
                <w:rFonts w:ascii="仿宋_GB2312" w:hAnsi="仿宋_GB2312" w:eastAsia="仿宋_GB2312"/>
                <w:sz w:val="32"/>
              </w:rPr>
              <w:br w:type="textWrapping"/>
            </w:r>
            <w:r>
              <w:rPr>
                <w:rFonts w:ascii="仿宋_GB2312" w:hAnsi="仿宋_GB2312" w:eastAsia="仿宋_GB2312"/>
                <w:sz w:val="32"/>
              </w:rPr>
              <w:t>（编制本）</w:t>
            </w:r>
          </w:p>
        </w:tc>
        <w:tc>
          <w:tcPr>
            <w:tcW w:w="709" w:type="dxa"/>
            <w:tcBorders>
              <w:top w:val="single" w:color="auto" w:sz="4" w:space="0"/>
              <w:left w:val="single" w:color="auto" w:sz="4" w:space="0"/>
              <w:bottom w:val="single" w:color="auto" w:sz="4" w:space="0"/>
              <w:right w:val="single" w:color="auto" w:sz="4" w:space="0"/>
            </w:tcBorders>
            <w:noWrap w:val="0"/>
            <w:tcMar>
              <w:left w:w="20" w:type="dxa"/>
            </w:tcMar>
            <w:vAlign w:val="center"/>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jc w:val="center"/>
              <w:rPr>
                <w:rFonts w:ascii="仿宋_GB2312" w:hAnsi="仿宋_GB2312" w:eastAsia="仿宋_GB2312"/>
                <w:sz w:val="32"/>
              </w:rPr>
            </w:pPr>
            <w:r>
              <w:rPr>
                <w:rFonts w:ascii="仿宋_GB2312" w:hAnsi="仿宋_GB2312" w:eastAsia="仿宋_GB2312"/>
                <w:sz w:val="32"/>
              </w:rPr>
              <w:t>编制人数</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jc w:val="center"/>
              <w:rPr>
                <w:rFonts w:ascii="仿宋_GB2312" w:hAnsi="仿宋_GB2312" w:eastAsia="仿宋_GB2312"/>
                <w:sz w:val="32"/>
              </w:rPr>
            </w:pPr>
            <w:r>
              <w:rPr>
                <w:rFonts w:ascii="仿宋_GB2312" w:hAnsi="仿宋_GB2312" w:eastAsia="仿宋_GB2312"/>
                <w:sz w:val="32"/>
              </w:rPr>
              <w:t>实有在职人数</w:t>
            </w:r>
          </w:p>
        </w:tc>
        <w:tc>
          <w:tcPr>
            <w:tcW w:w="851" w:type="dxa"/>
            <w:tcBorders>
              <w:top w:val="single" w:color="auto" w:sz="4" w:space="0"/>
              <w:left w:val="single" w:color="auto" w:sz="4" w:space="0"/>
              <w:bottom w:val="single" w:color="auto" w:sz="4" w:space="0"/>
              <w:right w:val="single" w:color="auto" w:sz="4" w:space="0"/>
            </w:tcBorders>
            <w:noWrap w:val="0"/>
            <w:tcMar>
              <w:left w:w="20" w:type="dxa"/>
            </w:tcMar>
            <w:vAlign w:val="center"/>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jc w:val="center"/>
              <w:rPr>
                <w:rFonts w:ascii="仿宋_GB2312" w:hAnsi="仿宋_GB2312" w:eastAsia="仿宋_GB2312"/>
                <w:sz w:val="32"/>
              </w:rPr>
            </w:pPr>
            <w:r>
              <w:rPr>
                <w:rFonts w:ascii="仿宋_GB2312" w:hAnsi="仿宋_GB2312" w:eastAsia="仿宋_GB2312"/>
                <w:sz w:val="32"/>
              </w:rPr>
              <w:t>离休</w:t>
            </w:r>
            <w:r>
              <w:rPr>
                <w:rFonts w:ascii="仿宋_GB2312" w:hAnsi="仿宋_GB2312" w:eastAsia="仿宋_GB2312"/>
                <w:sz w:val="32"/>
              </w:rPr>
              <w:br w:type="textWrapping"/>
            </w:r>
            <w:r>
              <w:rPr>
                <w:rFonts w:ascii="仿宋_GB2312" w:hAnsi="仿宋_GB2312" w:eastAsia="仿宋_GB2312"/>
                <w:sz w:val="32"/>
              </w:rPr>
              <w:t>人数</w:t>
            </w:r>
          </w:p>
        </w:tc>
        <w:tc>
          <w:tcPr>
            <w:tcW w:w="708" w:type="dxa"/>
            <w:tcBorders>
              <w:top w:val="single" w:color="auto" w:sz="4" w:space="0"/>
              <w:left w:val="single" w:color="auto" w:sz="4" w:space="0"/>
              <w:bottom w:val="single" w:color="auto" w:sz="4" w:space="0"/>
              <w:right w:val="single" w:color="auto" w:sz="4" w:space="0"/>
            </w:tcBorders>
            <w:noWrap w:val="0"/>
            <w:tcMar>
              <w:left w:w="20" w:type="dxa"/>
            </w:tcMar>
            <w:vAlign w:val="center"/>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jc w:val="center"/>
              <w:rPr>
                <w:rFonts w:ascii="仿宋_GB2312" w:hAnsi="仿宋_GB2312" w:eastAsia="仿宋_GB2312"/>
                <w:sz w:val="32"/>
              </w:rPr>
            </w:pPr>
            <w:r>
              <w:rPr>
                <w:rFonts w:ascii="仿宋_GB2312" w:hAnsi="仿宋_GB2312" w:eastAsia="仿宋_GB2312"/>
                <w:sz w:val="32"/>
              </w:rPr>
              <w:t>退休</w:t>
            </w:r>
          </w:p>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jc w:val="center"/>
              <w:rPr>
                <w:rFonts w:ascii="仿宋_GB2312" w:hAnsi="仿宋_GB2312" w:eastAsia="仿宋_GB2312"/>
                <w:sz w:val="32"/>
              </w:rPr>
            </w:pPr>
            <w:r>
              <w:rPr>
                <w:rFonts w:ascii="仿宋_GB2312" w:hAnsi="仿宋_GB2312" w:eastAsia="仿宋_GB2312"/>
                <w:sz w:val="32"/>
              </w:rPr>
              <w:t>人数</w:t>
            </w:r>
          </w:p>
        </w:tc>
        <w:tc>
          <w:tcPr>
            <w:tcW w:w="1056" w:type="dxa"/>
            <w:tcBorders>
              <w:top w:val="single" w:color="auto" w:sz="4" w:space="0"/>
              <w:left w:val="single" w:color="auto" w:sz="4" w:space="0"/>
              <w:bottom w:val="single" w:color="auto" w:sz="4" w:space="0"/>
              <w:right w:val="single" w:color="auto" w:sz="4" w:space="0"/>
            </w:tcBorders>
            <w:noWrap w:val="0"/>
            <w:tcMar>
              <w:top w:w="0" w:type="dxa"/>
              <w:left w:w="10" w:type="dxa"/>
              <w:right w:w="10" w:type="dxa"/>
            </w:tcMar>
            <w:vAlign w:val="center"/>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jc w:val="center"/>
              <w:rPr>
                <w:rFonts w:ascii="仿宋_GB2312" w:hAnsi="仿宋_GB2312" w:eastAsia="仿宋_GB2312"/>
                <w:sz w:val="32"/>
              </w:rPr>
            </w:pPr>
            <w:r>
              <w:rPr>
                <w:rFonts w:ascii="仿宋_GB2312" w:hAnsi="仿宋_GB2312" w:eastAsia="仿宋_GB2312"/>
                <w:sz w:val="32"/>
              </w:rPr>
              <w:t>聘用</w:t>
            </w:r>
          </w:p>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jc w:val="center"/>
              <w:rPr>
                <w:rFonts w:ascii="仿宋_GB2312" w:hAnsi="仿宋_GB2312" w:eastAsia="仿宋_GB2312"/>
                <w:sz w:val="32"/>
              </w:rPr>
            </w:pPr>
            <w:r>
              <w:rPr>
                <w:rFonts w:ascii="仿宋_GB2312" w:hAnsi="仿宋_GB2312" w:eastAsia="仿宋_GB2312"/>
                <w:sz w:val="32"/>
              </w:rPr>
              <w:t>人数</w:t>
            </w:r>
          </w:p>
        </w:tc>
        <w:tc>
          <w:tcPr>
            <w:tcW w:w="900" w:type="dxa"/>
            <w:tcBorders>
              <w:top w:val="single" w:color="auto" w:sz="4" w:space="0"/>
              <w:left w:val="single" w:color="auto" w:sz="4" w:space="0"/>
              <w:bottom w:val="single" w:color="auto" w:sz="4" w:space="0"/>
              <w:right w:val="single" w:color="auto" w:sz="4" w:space="0"/>
            </w:tcBorders>
            <w:noWrap w:val="0"/>
            <w:tcMar>
              <w:left w:w="20" w:type="dxa"/>
            </w:tcMar>
            <w:vAlign w:val="center"/>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jc w:val="center"/>
              <w:rPr>
                <w:rFonts w:ascii="仿宋_GB2312" w:hAnsi="仿宋_GB2312" w:eastAsia="仿宋_GB2312"/>
                <w:sz w:val="32"/>
              </w:rPr>
            </w:pPr>
            <w:r>
              <w:rPr>
                <w:rFonts w:ascii="仿宋_GB2312" w:hAnsi="仿宋_GB2312" w:eastAsia="仿宋_GB2312"/>
                <w:sz w:val="32"/>
              </w:rPr>
              <w:t>学生人数</w:t>
            </w:r>
          </w:p>
        </w:tc>
        <w:tc>
          <w:tcPr>
            <w:tcW w:w="738" w:type="dxa"/>
            <w:tcBorders>
              <w:top w:val="single" w:color="auto" w:sz="4" w:space="0"/>
              <w:left w:val="single" w:color="auto" w:sz="4" w:space="0"/>
              <w:bottom w:val="single" w:color="auto" w:sz="4" w:space="0"/>
              <w:right w:val="single" w:color="auto" w:sz="4" w:space="0"/>
            </w:tcBorders>
            <w:noWrap w:val="0"/>
            <w:vAlign w:val="center"/>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rPr>
                <w:rFonts w:ascii="仿宋_GB2312" w:hAnsi="仿宋_GB2312" w:eastAsia="仿宋_GB2312"/>
                <w:sz w:val="32"/>
              </w:rPr>
            </w:pPr>
            <w:r>
              <w:rPr>
                <w:rFonts w:ascii="仿宋_GB2312" w:hAnsi="仿宋_GB2312" w:eastAsia="仿宋_GB2312"/>
                <w:sz w:val="32"/>
              </w:rPr>
              <w:t>保留车辆数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30" w:type="dxa"/>
            <w:bottom w:w="0" w:type="dxa"/>
            <w:right w:w="20" w:type="dxa"/>
          </w:tblCellMar>
        </w:tblPrEx>
        <w:trPr>
          <w:trHeight w:val="227" w:hRule="atLeast"/>
        </w:trPr>
        <w:tc>
          <w:tcPr>
            <w:tcW w:w="1635" w:type="dxa"/>
            <w:tcBorders>
              <w:top w:val="single" w:color="auto" w:sz="4" w:space="0"/>
              <w:left w:val="single" w:color="auto" w:sz="4" w:space="0"/>
              <w:bottom w:val="single" w:color="auto" w:sz="4" w:space="0"/>
              <w:right w:val="single" w:color="auto" w:sz="4" w:space="0"/>
            </w:tcBorders>
            <w:noWrap w:val="0"/>
            <w:vAlign w:val="center"/>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ind w:firstLine="105"/>
              <w:jc w:val="center"/>
              <w:rPr>
                <w:rFonts w:ascii="仿宋_GB2312" w:hAnsi="仿宋_GB2312" w:eastAsia="仿宋_GB2312"/>
                <w:sz w:val="32"/>
              </w:rPr>
            </w:pPr>
            <w:r>
              <w:rPr>
                <w:rFonts w:ascii="仿宋_GB2312" w:hAnsi="仿宋_GB2312" w:eastAsia="仿宋_GB2312"/>
                <w:sz w:val="32"/>
              </w:rPr>
              <w:t>合计</w:t>
            </w:r>
          </w:p>
        </w:tc>
        <w:tc>
          <w:tcPr>
            <w:tcW w:w="1658" w:type="dxa"/>
            <w:tcBorders>
              <w:top w:val="single" w:color="auto" w:sz="4" w:space="0"/>
              <w:left w:val="single" w:color="auto" w:sz="4" w:space="0"/>
              <w:bottom w:val="single" w:color="auto" w:sz="4" w:space="0"/>
              <w:right w:val="single" w:color="auto" w:sz="4" w:space="0"/>
            </w:tcBorders>
            <w:noWrap w:val="0"/>
            <w:tcMar>
              <w:left w:w="20" w:type="dxa"/>
            </w:tcMar>
            <w:vAlign w:val="top"/>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ind w:firstLine="420"/>
              <w:rPr>
                <w:rFonts w:ascii="仿宋_GB2312" w:hAnsi="仿宋_GB2312" w:eastAsia="仿宋_GB2312"/>
                <w:sz w:val="32"/>
              </w:rPr>
            </w:pPr>
          </w:p>
        </w:tc>
        <w:tc>
          <w:tcPr>
            <w:tcW w:w="709" w:type="dxa"/>
            <w:tcBorders>
              <w:top w:val="single" w:color="auto" w:sz="4" w:space="0"/>
              <w:left w:val="single" w:color="auto" w:sz="4" w:space="0"/>
              <w:bottom w:val="single" w:color="auto" w:sz="4" w:space="0"/>
              <w:right w:val="single" w:color="auto" w:sz="4" w:space="0"/>
            </w:tcBorders>
            <w:noWrap w:val="0"/>
            <w:tcMar>
              <w:left w:w="20" w:type="dxa"/>
            </w:tcMar>
            <w:vAlign w:val="top"/>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ind w:firstLine="160" w:firstLineChars="50"/>
              <w:rPr>
                <w:rFonts w:hint="eastAsia" w:ascii="仿宋_GB2312" w:hAnsi="仿宋_GB2312" w:eastAsia="仿宋_GB2312"/>
                <w:sz w:val="32"/>
              </w:rPr>
            </w:pPr>
            <w:r>
              <w:rPr>
                <w:rFonts w:hint="eastAsia" w:ascii="仿宋_GB2312" w:hAnsi="仿宋_GB2312" w:eastAsia="仿宋_GB2312"/>
                <w:sz w:val="32"/>
              </w:rPr>
              <w:t>16</w:t>
            </w:r>
          </w:p>
        </w:tc>
        <w:tc>
          <w:tcPr>
            <w:tcW w:w="850" w:type="dxa"/>
            <w:tcBorders>
              <w:top w:val="single" w:color="auto" w:sz="4" w:space="0"/>
              <w:left w:val="single" w:color="auto" w:sz="4" w:space="0"/>
              <w:bottom w:val="single" w:color="auto" w:sz="4" w:space="0"/>
              <w:right w:val="single" w:color="auto" w:sz="4" w:space="0"/>
            </w:tcBorders>
            <w:noWrap w:val="0"/>
            <w:vAlign w:val="top"/>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ind w:firstLine="160" w:firstLineChars="50"/>
              <w:rPr>
                <w:rFonts w:hint="eastAsia" w:ascii="仿宋_GB2312" w:hAnsi="仿宋_GB2312" w:eastAsia="仿宋_GB2312"/>
                <w:sz w:val="32"/>
              </w:rPr>
            </w:pPr>
            <w:r>
              <w:rPr>
                <w:rFonts w:hint="eastAsia" w:ascii="仿宋_GB2312" w:hAnsi="仿宋_GB2312" w:eastAsia="仿宋_GB2312"/>
                <w:sz w:val="32"/>
              </w:rPr>
              <w:t>14</w:t>
            </w:r>
          </w:p>
        </w:tc>
        <w:tc>
          <w:tcPr>
            <w:tcW w:w="851" w:type="dxa"/>
            <w:tcBorders>
              <w:top w:val="single" w:color="auto" w:sz="4" w:space="0"/>
              <w:left w:val="single" w:color="auto" w:sz="4" w:space="0"/>
              <w:bottom w:val="single" w:color="auto" w:sz="4" w:space="0"/>
              <w:right w:val="single" w:color="auto" w:sz="4" w:space="0"/>
            </w:tcBorders>
            <w:noWrap w:val="0"/>
            <w:tcMar>
              <w:left w:w="20" w:type="dxa"/>
            </w:tcMar>
            <w:vAlign w:val="center"/>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jc w:val="center"/>
              <w:rPr>
                <w:rFonts w:ascii="仿宋_GB2312" w:hAnsi="仿宋_GB2312" w:eastAsia="仿宋_GB2312"/>
                <w:sz w:val="32"/>
              </w:rPr>
            </w:pPr>
          </w:p>
        </w:tc>
        <w:tc>
          <w:tcPr>
            <w:tcW w:w="708" w:type="dxa"/>
            <w:tcBorders>
              <w:top w:val="single" w:color="auto" w:sz="4" w:space="0"/>
              <w:left w:val="single" w:color="auto" w:sz="4" w:space="0"/>
              <w:bottom w:val="single" w:color="auto" w:sz="4" w:space="0"/>
              <w:right w:val="single" w:color="auto" w:sz="4" w:space="0"/>
            </w:tcBorders>
            <w:noWrap w:val="0"/>
            <w:tcMar>
              <w:left w:w="20" w:type="dxa"/>
            </w:tcMar>
            <w:vAlign w:val="center"/>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jc w:val="center"/>
              <w:rPr>
                <w:rFonts w:hint="eastAsia" w:ascii="仿宋_GB2312" w:hAnsi="仿宋_GB2312" w:eastAsia="仿宋_GB2312"/>
                <w:sz w:val="32"/>
              </w:rPr>
            </w:pPr>
            <w:r>
              <w:rPr>
                <w:rFonts w:hint="eastAsia" w:ascii="仿宋_GB2312" w:hAnsi="仿宋_GB2312" w:eastAsia="仿宋_GB2312"/>
                <w:sz w:val="32"/>
              </w:rPr>
              <w:t xml:space="preserve"> 9</w:t>
            </w:r>
          </w:p>
        </w:tc>
        <w:tc>
          <w:tcPr>
            <w:tcW w:w="1056" w:type="dxa"/>
            <w:tcBorders>
              <w:top w:val="single" w:color="auto" w:sz="4" w:space="0"/>
              <w:left w:val="single" w:color="auto" w:sz="4" w:space="0"/>
              <w:bottom w:val="single" w:color="auto" w:sz="4" w:space="0"/>
              <w:right w:val="single" w:color="auto" w:sz="4" w:space="0"/>
            </w:tcBorders>
            <w:noWrap w:val="0"/>
            <w:tcMar>
              <w:top w:w="0" w:type="dxa"/>
              <w:left w:w="10" w:type="dxa"/>
              <w:right w:w="10" w:type="dxa"/>
            </w:tcMar>
            <w:vAlign w:val="center"/>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jc w:val="center"/>
              <w:rPr>
                <w:rFonts w:ascii="仿宋_GB2312" w:hAnsi="仿宋_GB2312" w:eastAsia="仿宋_GB2312"/>
                <w:sz w:val="32"/>
              </w:rPr>
            </w:pPr>
          </w:p>
        </w:tc>
        <w:tc>
          <w:tcPr>
            <w:tcW w:w="900" w:type="dxa"/>
            <w:noWrap w:val="0"/>
            <w:tcMar>
              <w:left w:w="20" w:type="dxa"/>
            </w:tcMar>
            <w:vAlign w:val="top"/>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jc w:val="center"/>
              <w:rPr>
                <w:rFonts w:ascii="仿宋_GB2312" w:hAnsi="仿宋_GB2312" w:eastAsia="仿宋_GB2312"/>
                <w:sz w:val="32"/>
              </w:rPr>
            </w:pPr>
          </w:p>
        </w:tc>
        <w:tc>
          <w:tcPr>
            <w:tcW w:w="738" w:type="dxa"/>
            <w:noWrap w:val="0"/>
            <w:vAlign w:val="top"/>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ind w:firstLine="420"/>
              <w:rPr>
                <w:rFonts w:ascii="仿宋_GB2312" w:hAnsi="仿宋_GB2312" w:eastAsia="仿宋_GB2312"/>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30" w:type="dxa"/>
            <w:bottom w:w="0" w:type="dxa"/>
            <w:right w:w="20" w:type="dxa"/>
          </w:tblCellMar>
        </w:tblPrEx>
        <w:trPr>
          <w:trHeight w:val="765" w:hRule="atLeast"/>
        </w:trPr>
        <w:tc>
          <w:tcPr>
            <w:tcW w:w="1635" w:type="dxa"/>
            <w:tcBorders>
              <w:top w:val="single" w:color="auto" w:sz="4" w:space="0"/>
              <w:left w:val="single" w:color="auto" w:sz="4" w:space="0"/>
              <w:bottom w:val="single" w:color="auto" w:sz="4" w:space="0"/>
              <w:right w:val="single" w:color="auto" w:sz="4" w:space="0"/>
            </w:tcBorders>
            <w:noWrap w:val="0"/>
            <w:vAlign w:val="center"/>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jc w:val="center"/>
              <w:rPr>
                <w:rFonts w:hint="eastAsia" w:ascii="仿宋_GB2312" w:hAnsi="仿宋_GB2312" w:eastAsia="仿宋_GB2312"/>
                <w:sz w:val="32"/>
              </w:rPr>
            </w:pPr>
            <w:r>
              <w:rPr>
                <w:rFonts w:hint="eastAsia" w:ascii="仿宋_GB2312" w:hAnsi="仿宋_GB2312" w:eastAsia="仿宋_GB2312"/>
                <w:sz w:val="32"/>
              </w:rPr>
              <w:t>储备粮管理中心</w:t>
            </w:r>
          </w:p>
        </w:tc>
        <w:tc>
          <w:tcPr>
            <w:tcW w:w="1658" w:type="dxa"/>
            <w:tcBorders>
              <w:top w:val="single" w:color="auto" w:sz="4" w:space="0"/>
              <w:left w:val="single" w:color="auto" w:sz="4" w:space="0"/>
              <w:bottom w:val="single" w:color="auto" w:sz="4" w:space="0"/>
              <w:right w:val="single" w:color="auto" w:sz="4" w:space="0"/>
            </w:tcBorders>
            <w:noWrap w:val="0"/>
            <w:tcMar>
              <w:left w:w="20" w:type="dxa"/>
            </w:tcMar>
            <w:vAlign w:val="top"/>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jc w:val="center"/>
              <w:rPr>
                <w:rFonts w:hint="eastAsia" w:ascii="仿宋_GB2312" w:hAnsi="仿宋_GB2312" w:eastAsia="仿宋_GB2312"/>
                <w:sz w:val="32"/>
              </w:rPr>
            </w:pPr>
            <w:r>
              <w:rPr>
                <w:rFonts w:hint="eastAsia" w:ascii="仿宋_GB2312" w:hAnsi="仿宋_GB2312" w:eastAsia="仿宋_GB2312"/>
                <w:sz w:val="32"/>
              </w:rPr>
              <w:t>参公事业</w:t>
            </w:r>
          </w:p>
        </w:tc>
        <w:tc>
          <w:tcPr>
            <w:tcW w:w="709" w:type="dxa"/>
            <w:tcBorders>
              <w:top w:val="single" w:color="auto" w:sz="4" w:space="0"/>
              <w:left w:val="single" w:color="auto" w:sz="4" w:space="0"/>
              <w:bottom w:val="single" w:color="auto" w:sz="4" w:space="0"/>
              <w:right w:val="single" w:color="auto" w:sz="4" w:space="0"/>
            </w:tcBorders>
            <w:noWrap w:val="0"/>
            <w:tcMar>
              <w:left w:w="20" w:type="dxa"/>
            </w:tcMar>
            <w:vAlign w:val="top"/>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ind w:firstLine="160" w:firstLineChars="50"/>
              <w:rPr>
                <w:rFonts w:hint="eastAsia" w:ascii="仿宋_GB2312" w:hAnsi="仿宋_GB2312" w:eastAsia="仿宋_GB2312"/>
                <w:sz w:val="32"/>
              </w:rPr>
            </w:pPr>
            <w:r>
              <w:rPr>
                <w:rFonts w:hint="eastAsia" w:ascii="仿宋_GB2312" w:hAnsi="仿宋_GB2312" w:eastAsia="仿宋_GB2312"/>
                <w:sz w:val="32"/>
              </w:rPr>
              <w:t>16</w:t>
            </w:r>
          </w:p>
        </w:tc>
        <w:tc>
          <w:tcPr>
            <w:tcW w:w="850" w:type="dxa"/>
            <w:tcBorders>
              <w:top w:val="single" w:color="auto" w:sz="4" w:space="0"/>
              <w:left w:val="single" w:color="auto" w:sz="4" w:space="0"/>
              <w:bottom w:val="single" w:color="auto" w:sz="4" w:space="0"/>
              <w:right w:val="single" w:color="auto" w:sz="4" w:space="0"/>
            </w:tcBorders>
            <w:noWrap w:val="0"/>
            <w:vAlign w:val="top"/>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ind w:firstLine="160" w:firstLineChars="50"/>
              <w:rPr>
                <w:rFonts w:hint="eastAsia" w:ascii="仿宋_GB2312" w:hAnsi="仿宋_GB2312" w:eastAsia="仿宋_GB2312"/>
                <w:sz w:val="32"/>
              </w:rPr>
            </w:pPr>
            <w:r>
              <w:rPr>
                <w:rFonts w:hint="eastAsia" w:ascii="仿宋_GB2312" w:hAnsi="仿宋_GB2312" w:eastAsia="仿宋_GB2312"/>
                <w:sz w:val="32"/>
              </w:rPr>
              <w:t>14</w:t>
            </w:r>
          </w:p>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ind w:firstLine="160" w:firstLineChars="50"/>
              <w:rPr>
                <w:rFonts w:hint="eastAsia" w:ascii="仿宋_GB2312" w:hAnsi="仿宋_GB2312" w:eastAsia="仿宋_GB2312"/>
                <w:sz w:val="32"/>
              </w:rPr>
            </w:pPr>
          </w:p>
        </w:tc>
        <w:tc>
          <w:tcPr>
            <w:tcW w:w="851" w:type="dxa"/>
            <w:tcBorders>
              <w:top w:val="single" w:color="auto" w:sz="4" w:space="0"/>
              <w:left w:val="single" w:color="auto" w:sz="4" w:space="0"/>
              <w:bottom w:val="single" w:color="auto" w:sz="4" w:space="0"/>
              <w:right w:val="single" w:color="auto" w:sz="4" w:space="0"/>
            </w:tcBorders>
            <w:noWrap w:val="0"/>
            <w:tcMar>
              <w:left w:w="20" w:type="dxa"/>
            </w:tcMar>
            <w:vAlign w:val="center"/>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jc w:val="center"/>
              <w:rPr>
                <w:rFonts w:ascii="仿宋_GB2312" w:hAnsi="仿宋_GB2312" w:eastAsia="仿宋_GB2312"/>
                <w:sz w:val="32"/>
              </w:rPr>
            </w:pPr>
          </w:p>
        </w:tc>
        <w:tc>
          <w:tcPr>
            <w:tcW w:w="708" w:type="dxa"/>
            <w:tcBorders>
              <w:top w:val="single" w:color="auto" w:sz="4" w:space="0"/>
              <w:left w:val="single" w:color="auto" w:sz="4" w:space="0"/>
              <w:bottom w:val="single" w:color="auto" w:sz="4" w:space="0"/>
              <w:right w:val="single" w:color="auto" w:sz="4" w:space="0"/>
            </w:tcBorders>
            <w:noWrap w:val="0"/>
            <w:tcMar>
              <w:left w:w="20" w:type="dxa"/>
            </w:tcMar>
            <w:vAlign w:val="top"/>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ind w:firstLine="320" w:firstLineChars="100"/>
              <w:rPr>
                <w:rFonts w:hint="eastAsia" w:ascii="仿宋_GB2312" w:hAnsi="仿宋_GB2312" w:eastAsia="仿宋_GB2312"/>
                <w:sz w:val="32"/>
              </w:rPr>
            </w:pPr>
            <w:r>
              <w:rPr>
                <w:rFonts w:hint="eastAsia" w:ascii="仿宋_GB2312" w:hAnsi="仿宋_GB2312" w:eastAsia="仿宋_GB2312"/>
                <w:sz w:val="32"/>
              </w:rPr>
              <w:t>9</w:t>
            </w:r>
          </w:p>
        </w:tc>
        <w:tc>
          <w:tcPr>
            <w:tcW w:w="1056" w:type="dxa"/>
            <w:tcBorders>
              <w:top w:val="single" w:color="auto" w:sz="4" w:space="0"/>
              <w:left w:val="single" w:color="auto" w:sz="4" w:space="0"/>
              <w:bottom w:val="single" w:color="auto" w:sz="4" w:space="0"/>
              <w:right w:val="single" w:color="auto" w:sz="4" w:space="0"/>
            </w:tcBorders>
            <w:noWrap w:val="0"/>
            <w:tcMar>
              <w:top w:w="0" w:type="dxa"/>
              <w:left w:w="10" w:type="dxa"/>
              <w:right w:w="10" w:type="dxa"/>
            </w:tcMar>
            <w:vAlign w:val="center"/>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jc w:val="center"/>
              <w:rPr>
                <w:rFonts w:ascii="仿宋_GB2312" w:hAnsi="仿宋_GB2312" w:eastAsia="仿宋_GB2312"/>
                <w:sz w:val="32"/>
              </w:rPr>
            </w:pPr>
          </w:p>
        </w:tc>
        <w:tc>
          <w:tcPr>
            <w:tcW w:w="900" w:type="dxa"/>
            <w:noWrap w:val="0"/>
            <w:tcMar>
              <w:left w:w="20" w:type="dxa"/>
            </w:tcMar>
            <w:vAlign w:val="top"/>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jc w:val="center"/>
              <w:rPr>
                <w:rFonts w:ascii="仿宋_GB2312" w:hAnsi="仿宋_GB2312" w:eastAsia="仿宋_GB2312"/>
                <w:sz w:val="32"/>
              </w:rPr>
            </w:pPr>
          </w:p>
        </w:tc>
        <w:tc>
          <w:tcPr>
            <w:tcW w:w="738" w:type="dxa"/>
            <w:noWrap w:val="0"/>
            <w:vAlign w:val="top"/>
          </w:tcPr>
          <w:p>
            <w:pPr>
              <w:pStyle w:val="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ind w:firstLine="420"/>
              <w:rPr>
                <w:rFonts w:ascii="仿宋_GB2312" w:hAnsi="仿宋_GB2312" w:eastAsia="仿宋_GB2312"/>
                <w:sz w:val="32"/>
              </w:rPr>
            </w:pPr>
          </w:p>
        </w:tc>
      </w:tr>
    </w:tbl>
    <w:p>
      <w:pPr>
        <w:pStyle w:val="3"/>
        <w:keepNext w:val="0"/>
        <w:keepLines w:val="0"/>
        <w:pageBreakBefore w:val="0"/>
        <w:kinsoku/>
        <w:wordWrap/>
        <w:overflowPunct/>
        <w:topLinePunct w:val="0"/>
        <w:autoSpaceDE/>
        <w:autoSpaceDN/>
        <w:bidi w:val="0"/>
        <w:spacing w:before="0" w:beforeAutospacing="0" w:after="0" w:afterAutospacing="0" w:line="560" w:lineRule="exact"/>
        <w:ind w:firstLine="643" w:firstLineChars="200"/>
        <w:jc w:val="both"/>
        <w:textAlignment w:val="auto"/>
        <w:rPr>
          <w:rFonts w:hint="eastAsia" w:ascii="仿宋_GB2312" w:hAnsi="华文仿宋" w:eastAsia="仿宋_GB2312"/>
          <w:b/>
          <w:bCs/>
          <w:color w:val="000000"/>
          <w:sz w:val="32"/>
          <w:szCs w:val="32"/>
        </w:rPr>
      </w:pPr>
      <w:r>
        <w:rPr>
          <w:rFonts w:hint="eastAsia" w:ascii="仿宋_GB2312" w:hAnsi="华文仿宋" w:eastAsia="仿宋_GB2312"/>
          <w:b/>
          <w:bCs/>
          <w:color w:val="000000"/>
          <w:sz w:val="32"/>
          <w:szCs w:val="32"/>
        </w:rPr>
        <w:t>第二部分：</w:t>
      </w:r>
      <w:r>
        <w:rPr>
          <w:rFonts w:hint="eastAsia" w:ascii="仿宋_GB2312" w:hAnsi="华文仿宋" w:eastAsia="仿宋_GB2312"/>
          <w:b/>
          <w:bCs/>
          <w:color w:val="000000"/>
          <w:sz w:val="32"/>
          <w:szCs w:val="32"/>
          <w:lang w:val="en-US" w:eastAsia="zh-CN"/>
        </w:rPr>
        <w:t>柳州市储备粮管理中心</w:t>
      </w:r>
      <w:r>
        <w:rPr>
          <w:rFonts w:hint="eastAsia" w:ascii="仿宋_GB2312" w:hAnsi="华文仿宋" w:eastAsia="仿宋_GB2312"/>
          <w:b/>
          <w:bCs/>
          <w:color w:val="000000"/>
          <w:sz w:val="32"/>
          <w:szCs w:val="32"/>
          <w:lang w:eastAsia="zh-CN"/>
        </w:rPr>
        <w:t>202</w:t>
      </w:r>
      <w:r>
        <w:rPr>
          <w:rFonts w:hint="eastAsia" w:ascii="仿宋_GB2312" w:hAnsi="华文仿宋" w:eastAsia="仿宋_GB2312"/>
          <w:b/>
          <w:bCs/>
          <w:color w:val="000000"/>
          <w:sz w:val="32"/>
          <w:szCs w:val="32"/>
          <w:lang w:val="en-US" w:eastAsia="zh-CN"/>
        </w:rPr>
        <w:t>1</w:t>
      </w:r>
      <w:r>
        <w:rPr>
          <w:rFonts w:hint="eastAsia" w:ascii="仿宋_GB2312" w:hAnsi="华文仿宋" w:eastAsia="仿宋_GB2312"/>
          <w:b/>
          <w:bCs/>
          <w:color w:val="000000"/>
          <w:sz w:val="32"/>
          <w:szCs w:val="32"/>
        </w:rPr>
        <w:t>年预算</w:t>
      </w:r>
      <w:r>
        <w:rPr>
          <w:rFonts w:hint="eastAsia" w:ascii="仿宋_GB2312" w:hAnsi="华文仿宋" w:eastAsia="仿宋_GB2312"/>
          <w:b/>
          <w:bCs/>
          <w:color w:val="000000"/>
          <w:sz w:val="32"/>
          <w:szCs w:val="32"/>
          <w:lang w:eastAsia="zh-CN"/>
        </w:rPr>
        <w:t>报</w:t>
      </w:r>
      <w:r>
        <w:rPr>
          <w:rFonts w:hint="eastAsia" w:ascii="仿宋_GB2312" w:hAnsi="华文仿宋" w:eastAsia="仿宋_GB2312"/>
          <w:b/>
          <w:bCs/>
          <w:color w:val="000000"/>
          <w:sz w:val="32"/>
          <w:szCs w:val="32"/>
        </w:rPr>
        <w:t>表</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lang w:eastAsia="zh-CN"/>
        </w:rPr>
      </w:pPr>
      <w:r>
        <w:rPr>
          <w:rFonts w:hint="eastAsia" w:ascii="仿宋_GB2312" w:hAnsi="华文仿宋" w:eastAsia="仿宋_GB2312"/>
          <w:bCs/>
          <w:color w:val="000000"/>
          <w:sz w:val="32"/>
          <w:szCs w:val="32"/>
          <w:lang w:eastAsia="zh-CN"/>
        </w:rPr>
        <w:t>一</w:t>
      </w:r>
      <w:r>
        <w:rPr>
          <w:rFonts w:hint="eastAsia" w:ascii="仿宋_GB2312" w:hAnsi="华文仿宋" w:eastAsia="仿宋_GB2312"/>
          <w:bCs/>
          <w:color w:val="000000"/>
          <w:sz w:val="32"/>
          <w:szCs w:val="32"/>
        </w:rPr>
        <w:t>、</w:t>
      </w:r>
      <w:r>
        <w:rPr>
          <w:rFonts w:hint="eastAsia" w:ascii="仿宋_GB2312" w:hAnsi="华文仿宋" w:eastAsia="仿宋_GB2312"/>
          <w:bCs/>
          <w:color w:val="000000"/>
          <w:sz w:val="32"/>
          <w:szCs w:val="32"/>
          <w:lang w:eastAsia="zh-CN"/>
        </w:rPr>
        <w:t>单位</w:t>
      </w:r>
      <w:r>
        <w:rPr>
          <w:rFonts w:hint="eastAsia" w:ascii="仿宋_GB2312" w:hAnsi="华文仿宋" w:eastAsia="仿宋_GB2312"/>
          <w:bCs/>
          <w:color w:val="000000"/>
          <w:sz w:val="32"/>
          <w:szCs w:val="32"/>
        </w:rPr>
        <w:t>收支</w:t>
      </w:r>
      <w:r>
        <w:rPr>
          <w:rFonts w:hint="eastAsia" w:ascii="仿宋_GB2312" w:hAnsi="华文仿宋" w:eastAsia="仿宋_GB2312"/>
          <w:bCs/>
          <w:color w:val="000000"/>
          <w:sz w:val="32"/>
          <w:szCs w:val="32"/>
          <w:lang w:eastAsia="zh-CN"/>
        </w:rPr>
        <w:t>总体情况表（预算公开</w:t>
      </w:r>
      <w:r>
        <w:rPr>
          <w:rFonts w:hint="eastAsia" w:ascii="仿宋_GB2312" w:hAnsi="华文仿宋" w:eastAsia="仿宋_GB2312"/>
          <w:bCs/>
          <w:color w:val="000000"/>
          <w:sz w:val="32"/>
          <w:szCs w:val="32"/>
          <w:lang w:val="en-US" w:eastAsia="zh-CN"/>
        </w:rPr>
        <w:t>01表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二</w:t>
      </w:r>
      <w:r>
        <w:rPr>
          <w:rFonts w:hint="eastAsia" w:ascii="仿宋_GB2312" w:hAnsi="华文仿宋" w:eastAsia="仿宋_GB2312"/>
          <w:bCs/>
          <w:color w:val="000000"/>
          <w:sz w:val="32"/>
          <w:szCs w:val="32"/>
        </w:rPr>
        <w:t>、</w:t>
      </w:r>
      <w:r>
        <w:rPr>
          <w:rFonts w:hint="eastAsia" w:ascii="仿宋_GB2312" w:hAnsi="华文仿宋" w:eastAsia="仿宋_GB2312"/>
          <w:bCs/>
          <w:color w:val="000000"/>
          <w:sz w:val="32"/>
          <w:szCs w:val="32"/>
          <w:lang w:eastAsia="zh-CN"/>
        </w:rPr>
        <w:t>单位</w:t>
      </w:r>
      <w:r>
        <w:rPr>
          <w:rFonts w:hint="eastAsia" w:ascii="仿宋_GB2312" w:hAnsi="华文仿宋" w:eastAsia="仿宋_GB2312"/>
          <w:bCs/>
          <w:color w:val="000000"/>
          <w:sz w:val="32"/>
          <w:szCs w:val="32"/>
        </w:rPr>
        <w:t>收入总</w:t>
      </w:r>
      <w:r>
        <w:rPr>
          <w:rFonts w:hint="eastAsia" w:ascii="仿宋_GB2312" w:hAnsi="华文仿宋" w:eastAsia="仿宋_GB2312"/>
          <w:bCs/>
          <w:color w:val="000000"/>
          <w:sz w:val="32"/>
          <w:szCs w:val="32"/>
          <w:lang w:eastAsia="zh-CN"/>
        </w:rPr>
        <w:t>体情况表（预算公开</w:t>
      </w:r>
      <w:r>
        <w:rPr>
          <w:rFonts w:hint="eastAsia" w:ascii="仿宋_GB2312" w:hAnsi="华文仿宋" w:eastAsia="仿宋_GB2312"/>
          <w:bCs/>
          <w:color w:val="000000"/>
          <w:sz w:val="32"/>
          <w:szCs w:val="32"/>
          <w:lang w:val="en-US" w:eastAsia="zh-CN"/>
        </w:rPr>
        <w:t>02表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
          <w:bCs/>
          <w:color w:val="000000"/>
          <w:sz w:val="32"/>
          <w:szCs w:val="32"/>
          <w:lang w:eastAsia="zh-CN"/>
        </w:rPr>
      </w:pPr>
      <w:r>
        <w:rPr>
          <w:rFonts w:hint="eastAsia" w:ascii="仿宋_GB2312" w:hAnsi="华文仿宋" w:eastAsia="仿宋_GB2312"/>
          <w:bCs/>
          <w:color w:val="000000"/>
          <w:sz w:val="32"/>
          <w:szCs w:val="32"/>
          <w:lang w:eastAsia="zh-CN"/>
        </w:rPr>
        <w:t>三</w:t>
      </w:r>
      <w:r>
        <w:rPr>
          <w:rFonts w:hint="eastAsia" w:ascii="仿宋_GB2312" w:hAnsi="华文仿宋" w:eastAsia="仿宋_GB2312"/>
          <w:bCs/>
          <w:color w:val="000000"/>
          <w:sz w:val="32"/>
          <w:szCs w:val="32"/>
        </w:rPr>
        <w:t>、</w:t>
      </w:r>
      <w:r>
        <w:rPr>
          <w:rFonts w:hint="eastAsia" w:ascii="仿宋_GB2312" w:hAnsi="华文仿宋" w:eastAsia="仿宋_GB2312"/>
          <w:bCs/>
          <w:color w:val="000000"/>
          <w:sz w:val="32"/>
          <w:szCs w:val="32"/>
          <w:lang w:eastAsia="zh-CN"/>
        </w:rPr>
        <w:t>单位</w:t>
      </w:r>
      <w:r>
        <w:rPr>
          <w:rFonts w:hint="eastAsia" w:ascii="仿宋_GB2312" w:hAnsi="华文仿宋" w:eastAsia="仿宋_GB2312"/>
          <w:bCs/>
          <w:color w:val="000000"/>
          <w:sz w:val="32"/>
          <w:szCs w:val="32"/>
        </w:rPr>
        <w:t>支出总</w:t>
      </w:r>
      <w:r>
        <w:rPr>
          <w:rFonts w:hint="eastAsia" w:ascii="仿宋_GB2312" w:hAnsi="华文仿宋" w:eastAsia="仿宋_GB2312"/>
          <w:bCs/>
          <w:color w:val="000000"/>
          <w:sz w:val="32"/>
          <w:szCs w:val="32"/>
          <w:lang w:eastAsia="zh-CN"/>
        </w:rPr>
        <w:t>体情况表（预算公开</w:t>
      </w:r>
      <w:r>
        <w:rPr>
          <w:rFonts w:hint="eastAsia" w:ascii="仿宋_GB2312" w:hAnsi="华文仿宋" w:eastAsia="仿宋_GB2312"/>
          <w:bCs/>
          <w:color w:val="000000"/>
          <w:sz w:val="32"/>
          <w:szCs w:val="32"/>
          <w:lang w:val="en-US" w:eastAsia="zh-CN"/>
        </w:rPr>
        <w:t>03表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四</w:t>
      </w:r>
      <w:r>
        <w:rPr>
          <w:rFonts w:hint="eastAsia" w:ascii="仿宋_GB2312" w:hAnsi="华文仿宋" w:eastAsia="仿宋_GB2312"/>
          <w:bCs/>
          <w:color w:val="000000"/>
          <w:sz w:val="32"/>
          <w:szCs w:val="32"/>
        </w:rPr>
        <w:t>、财政拨款收支总</w:t>
      </w:r>
      <w:r>
        <w:rPr>
          <w:rFonts w:hint="eastAsia" w:ascii="仿宋_GB2312" w:hAnsi="华文仿宋" w:eastAsia="仿宋_GB2312"/>
          <w:bCs/>
          <w:color w:val="000000"/>
          <w:sz w:val="32"/>
          <w:szCs w:val="32"/>
          <w:lang w:eastAsia="zh-CN"/>
        </w:rPr>
        <w:t>体情况表（预算公开</w:t>
      </w:r>
      <w:r>
        <w:rPr>
          <w:rFonts w:hint="eastAsia" w:ascii="仿宋_GB2312" w:hAnsi="华文仿宋" w:eastAsia="仿宋_GB2312"/>
          <w:bCs/>
          <w:color w:val="000000"/>
          <w:sz w:val="32"/>
          <w:szCs w:val="32"/>
          <w:lang w:val="en-US" w:eastAsia="zh-CN"/>
        </w:rPr>
        <w:t>04表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五</w:t>
      </w:r>
      <w:r>
        <w:rPr>
          <w:rFonts w:hint="eastAsia" w:ascii="仿宋_GB2312" w:hAnsi="华文仿宋" w:eastAsia="仿宋_GB2312"/>
          <w:bCs/>
          <w:color w:val="000000"/>
          <w:sz w:val="32"/>
          <w:szCs w:val="32"/>
        </w:rPr>
        <w:t>、一般公共预算支出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05表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六</w:t>
      </w:r>
      <w:r>
        <w:rPr>
          <w:rFonts w:hint="eastAsia" w:ascii="仿宋_GB2312" w:hAnsi="华文仿宋" w:eastAsia="仿宋_GB2312"/>
          <w:bCs/>
          <w:color w:val="000000"/>
          <w:sz w:val="32"/>
          <w:szCs w:val="32"/>
        </w:rPr>
        <w:t>、一般公共预算基本支出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06表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七</w:t>
      </w:r>
      <w:r>
        <w:rPr>
          <w:rFonts w:hint="eastAsia" w:ascii="仿宋_GB2312" w:hAnsi="华文仿宋" w:eastAsia="仿宋_GB2312"/>
          <w:bCs/>
          <w:color w:val="000000"/>
          <w:sz w:val="32"/>
          <w:szCs w:val="32"/>
        </w:rPr>
        <w:t>、一般公共预算“三公”经费支出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07表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lang w:val="en-US" w:eastAsia="zh-CN"/>
        </w:rPr>
      </w:pPr>
      <w:r>
        <w:rPr>
          <w:rFonts w:hint="eastAsia" w:ascii="仿宋_GB2312" w:hAnsi="华文仿宋" w:eastAsia="仿宋_GB2312"/>
          <w:bCs/>
          <w:color w:val="000000"/>
          <w:sz w:val="32"/>
          <w:szCs w:val="32"/>
        </w:rPr>
        <w:t>八、政府性基金预算支出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08表）</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九、国有资本经营预算支出</w:t>
      </w:r>
      <w:r>
        <w:rPr>
          <w:rFonts w:hint="eastAsia" w:ascii="仿宋_GB2312" w:hAnsi="华文仿宋" w:eastAsia="仿宋_GB2312"/>
          <w:bCs/>
          <w:color w:val="000000"/>
          <w:sz w:val="32"/>
          <w:szCs w:val="32"/>
          <w:lang w:eastAsia="zh-CN"/>
        </w:rPr>
        <w:t>情况</w:t>
      </w:r>
      <w:r>
        <w:rPr>
          <w:rFonts w:hint="eastAsia" w:ascii="仿宋_GB2312" w:hAnsi="华文仿宋" w:eastAsia="仿宋_GB2312"/>
          <w:bCs/>
          <w:color w:val="000000"/>
          <w:sz w:val="32"/>
          <w:szCs w:val="32"/>
        </w:rPr>
        <w:t>表</w:t>
      </w:r>
      <w:r>
        <w:rPr>
          <w:rFonts w:hint="eastAsia" w:ascii="仿宋_GB2312" w:hAnsi="华文仿宋" w:eastAsia="仿宋_GB2312"/>
          <w:bCs/>
          <w:color w:val="000000"/>
          <w:sz w:val="32"/>
          <w:szCs w:val="32"/>
          <w:lang w:eastAsia="zh-CN"/>
        </w:rPr>
        <w:t>（预算公开</w:t>
      </w:r>
      <w:r>
        <w:rPr>
          <w:rFonts w:hint="eastAsia" w:ascii="仿宋_GB2312" w:hAnsi="华文仿宋" w:eastAsia="仿宋_GB2312"/>
          <w:bCs/>
          <w:color w:val="000000"/>
          <w:sz w:val="32"/>
          <w:szCs w:val="32"/>
          <w:lang w:val="en-US" w:eastAsia="zh-CN"/>
        </w:rPr>
        <w:t>09表）</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十、政府采购预算表</w:t>
      </w:r>
      <w:r>
        <w:rPr>
          <w:rFonts w:hint="eastAsia" w:ascii="仿宋_GB2312" w:hAnsi="华文仿宋" w:eastAsia="仿宋_GB2312"/>
          <w:bCs/>
          <w:color w:val="000000"/>
          <w:sz w:val="32"/>
          <w:szCs w:val="32"/>
          <w:lang w:eastAsia="zh-CN"/>
        </w:rPr>
        <w:t>（预算公开</w:t>
      </w:r>
      <w:r>
        <w:rPr>
          <w:rFonts w:hint="eastAsia" w:ascii="仿宋_GB2312" w:hAnsi="华文仿宋" w:eastAsia="仿宋_GB2312"/>
          <w:bCs/>
          <w:color w:val="000000"/>
          <w:sz w:val="32"/>
          <w:szCs w:val="32"/>
          <w:lang w:val="en-US" w:eastAsia="zh-CN"/>
        </w:rPr>
        <w:t>10表）</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lang w:eastAsia="zh-CN"/>
        </w:rPr>
      </w:pPr>
      <w:r>
        <w:rPr>
          <w:rFonts w:hint="eastAsia" w:ascii="仿宋_GB2312" w:hAnsi="华文仿宋" w:eastAsia="仿宋_GB2312"/>
          <w:bCs/>
          <w:color w:val="000000"/>
          <w:sz w:val="32"/>
          <w:szCs w:val="32"/>
        </w:rPr>
        <w:t>十一、政府购买服务预算表</w:t>
      </w:r>
      <w:r>
        <w:rPr>
          <w:rFonts w:hint="eastAsia" w:ascii="仿宋_GB2312" w:hAnsi="华文仿宋" w:eastAsia="仿宋_GB2312"/>
          <w:bCs/>
          <w:color w:val="000000"/>
          <w:sz w:val="32"/>
          <w:szCs w:val="32"/>
          <w:lang w:eastAsia="zh-CN"/>
        </w:rPr>
        <w:t>（预算公开</w:t>
      </w:r>
      <w:r>
        <w:rPr>
          <w:rFonts w:hint="eastAsia" w:ascii="仿宋_GB2312" w:hAnsi="华文仿宋" w:eastAsia="仿宋_GB2312"/>
          <w:bCs/>
          <w:color w:val="000000"/>
          <w:sz w:val="32"/>
          <w:szCs w:val="32"/>
          <w:lang w:val="en-US" w:eastAsia="zh-CN"/>
        </w:rPr>
        <w:t>11表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jc w:val="center"/>
        <w:textAlignment w:val="auto"/>
        <w:outlineLvl w:val="9"/>
        <w:rPr>
          <w:rFonts w:hint="eastAsia" w:ascii="仿宋_GB2312" w:hAnsi="华文仿宋" w:eastAsia="仿宋_GB2312" w:cs="Times New Roman"/>
          <w:b/>
          <w:bCs/>
          <w:color w:val="000000"/>
          <w:kern w:val="2"/>
          <w:sz w:val="32"/>
          <w:szCs w:val="32"/>
          <w:highlight w:val="yellow"/>
          <w:lang w:val="en-US" w:eastAsia="zh-CN" w:bidi="ar-SA"/>
        </w:rPr>
      </w:pPr>
      <w:r>
        <w:rPr>
          <w:rFonts w:hint="eastAsia" w:ascii="仿宋_GB2312" w:hAnsi="华文仿宋" w:eastAsia="仿宋_GB2312"/>
          <w:b/>
          <w:bCs/>
          <w:sz w:val="32"/>
          <w:szCs w:val="32"/>
          <w:highlight w:val="none"/>
        </w:rPr>
        <w:t>上述报表详见附件。</w:t>
      </w:r>
    </w:p>
    <w:p>
      <w:pPr>
        <w:pStyle w:val="3"/>
        <w:keepNext w:val="0"/>
        <w:keepLines w:val="0"/>
        <w:pageBreakBefore w:val="0"/>
        <w:kinsoku/>
        <w:wordWrap/>
        <w:overflowPunct/>
        <w:topLinePunct w:val="0"/>
        <w:autoSpaceDE/>
        <w:autoSpaceDN/>
        <w:bidi w:val="0"/>
        <w:spacing w:before="0" w:beforeAutospacing="0" w:after="0" w:afterAutospacing="0" w:line="560" w:lineRule="exact"/>
        <w:jc w:val="center"/>
        <w:textAlignment w:val="auto"/>
        <w:outlineLvl w:val="9"/>
        <w:rPr>
          <w:rFonts w:hint="eastAsia" w:ascii="仿宋_GB2312" w:hAnsi="华文仿宋" w:eastAsia="仿宋_GB2312" w:cs="Times New Roman"/>
          <w:b/>
          <w:bCs/>
          <w:color w:val="000000"/>
          <w:kern w:val="2"/>
          <w:sz w:val="32"/>
          <w:szCs w:val="32"/>
          <w:highlight w:val="yellow"/>
          <w:lang w:val="en-US" w:eastAsia="zh-CN" w:bidi="ar-SA"/>
        </w:rPr>
      </w:pPr>
    </w:p>
    <w:p>
      <w:pPr>
        <w:pStyle w:val="3"/>
        <w:keepNext w:val="0"/>
        <w:keepLines w:val="0"/>
        <w:pageBreakBefore w:val="0"/>
        <w:kinsoku/>
        <w:wordWrap/>
        <w:overflowPunct/>
        <w:topLinePunct w:val="0"/>
        <w:autoSpaceDE/>
        <w:autoSpaceDN/>
        <w:bidi w:val="0"/>
        <w:spacing w:before="0" w:beforeAutospacing="0" w:after="0" w:afterAutospacing="0" w:line="560" w:lineRule="exact"/>
        <w:jc w:val="center"/>
        <w:textAlignment w:val="auto"/>
        <w:outlineLvl w:val="9"/>
        <w:rPr>
          <w:rFonts w:hint="eastAsia" w:ascii="仿宋_GB2312" w:hAnsi="华文仿宋" w:eastAsia="仿宋_GB2312" w:cs="Times New Roman"/>
          <w:b/>
          <w:bCs/>
          <w:color w:val="000000"/>
          <w:kern w:val="2"/>
          <w:sz w:val="32"/>
          <w:szCs w:val="32"/>
          <w:highlight w:val="yellow"/>
          <w:lang w:val="en-US" w:eastAsia="zh-CN" w:bidi="ar-SA"/>
        </w:rPr>
      </w:pPr>
    </w:p>
    <w:p>
      <w:pPr>
        <w:pStyle w:val="3"/>
        <w:keepNext w:val="0"/>
        <w:keepLines w:val="0"/>
        <w:pageBreakBefore w:val="0"/>
        <w:kinsoku/>
        <w:wordWrap/>
        <w:overflowPunct/>
        <w:topLinePunct w:val="0"/>
        <w:autoSpaceDE/>
        <w:autoSpaceDN/>
        <w:bidi w:val="0"/>
        <w:spacing w:before="0" w:beforeAutospacing="0" w:after="0" w:afterAutospacing="0" w:line="560" w:lineRule="exact"/>
        <w:jc w:val="center"/>
        <w:textAlignment w:val="auto"/>
        <w:outlineLvl w:val="9"/>
        <w:rPr>
          <w:rFonts w:hint="eastAsia" w:ascii="仿宋_GB2312" w:hAnsi="华文仿宋" w:eastAsia="仿宋_GB2312" w:cs="Times New Roman"/>
          <w:b/>
          <w:bCs/>
          <w:color w:val="000000"/>
          <w:kern w:val="2"/>
          <w:sz w:val="32"/>
          <w:szCs w:val="32"/>
          <w:highlight w:val="none"/>
          <w:lang w:val="en-US" w:eastAsia="zh-CN" w:bidi="ar-SA"/>
        </w:rPr>
      </w:pPr>
      <w:r>
        <w:rPr>
          <w:rFonts w:hint="eastAsia" w:ascii="仿宋_GB2312" w:hAnsi="华文仿宋" w:eastAsia="仿宋_GB2312" w:cs="Times New Roman"/>
          <w:b/>
          <w:bCs/>
          <w:color w:val="000000"/>
          <w:kern w:val="2"/>
          <w:sz w:val="32"/>
          <w:szCs w:val="32"/>
          <w:highlight w:val="none"/>
          <w:lang w:val="en-US" w:eastAsia="zh-CN" w:bidi="ar-SA"/>
        </w:rPr>
        <w:t>第三部分：柳州市储备粮管理中心2021年预算情况说明</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outlineLvl w:val="9"/>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一、单位收支预算情况说明</w:t>
      </w:r>
    </w:p>
    <w:p>
      <w:pPr>
        <w:pStyle w:val="3"/>
        <w:keepNext w:val="0"/>
        <w:keepLines w:val="0"/>
        <w:pageBreakBefore w:val="0"/>
        <w:kinsoku/>
        <w:wordWrap/>
        <w:overflowPunct/>
        <w:topLinePunct w:val="0"/>
        <w:autoSpaceDE/>
        <w:autoSpaceDN/>
        <w:bidi w:val="0"/>
        <w:spacing w:before="0" w:beforeAutospacing="0" w:after="0" w:afterAutospacing="0" w:line="240" w:lineRule="auto"/>
        <w:ind w:firstLine="640" w:firstLineChars="200"/>
        <w:jc w:val="left"/>
        <w:textAlignment w:val="auto"/>
        <w:outlineLvl w:val="9"/>
        <w:rPr>
          <w:rFonts w:hint="eastAsia" w:ascii="仿宋_GB2312" w:hAnsi="华文仿宋" w:eastAsia="仿宋_GB2312" w:cs="Times New Roman"/>
          <w:b w:val="0"/>
          <w:bCs w:val="0"/>
          <w:strike/>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2021年单位收支总预算339.17万元，同比减少</w:t>
      </w:r>
      <w:r>
        <w:rPr>
          <w:rFonts w:hint="eastAsia" w:ascii="仿宋_GB2312" w:hAnsi="仿宋_GB2312" w:eastAsia="仿宋_GB2312"/>
          <w:sz w:val="32"/>
        </w:rPr>
        <w:t>6.81</w:t>
      </w:r>
      <w:r>
        <w:rPr>
          <w:rFonts w:hint="eastAsia" w:ascii="仿宋_GB2312" w:hAnsi="华文仿宋" w:eastAsia="仿宋_GB2312" w:cs="Times New Roman"/>
          <w:b w:val="0"/>
          <w:bCs w:val="0"/>
          <w:color w:val="auto"/>
          <w:kern w:val="2"/>
          <w:sz w:val="32"/>
          <w:szCs w:val="32"/>
          <w:lang w:val="en-US" w:eastAsia="zh-CN" w:bidi="ar-SA"/>
        </w:rPr>
        <w:t>万元，同比下降1.9%，收入包括：一般公共财政预算拨款339.17万元;支出包括：社会保障和就业支出48.11万元、卫生健康支出17.92万元、住房保障支出19.47万元、粮油物资储备支出253.66万元。</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outlineLvl w:val="9"/>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二、单位收入预算情况说明</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strike w:val="0"/>
          <w:sz w:val="32"/>
          <w:szCs w:val="32"/>
        </w:rPr>
      </w:pPr>
      <w:r>
        <w:rPr>
          <w:rFonts w:hint="eastAsia" w:ascii="仿宋_GB2312" w:hAnsi="华文仿宋" w:eastAsia="仿宋_GB2312"/>
          <w:color w:val="000000"/>
          <w:sz w:val="32"/>
          <w:szCs w:val="32"/>
          <w:lang w:eastAsia="zh-CN"/>
        </w:rPr>
        <w:t>202</w:t>
      </w:r>
      <w:r>
        <w:rPr>
          <w:rFonts w:hint="eastAsia" w:ascii="仿宋_GB2312" w:hAnsi="华文仿宋" w:eastAsia="仿宋_GB2312"/>
          <w:color w:val="000000"/>
          <w:sz w:val="32"/>
          <w:szCs w:val="32"/>
          <w:lang w:val="en-US" w:eastAsia="zh-CN"/>
        </w:rPr>
        <w:t>1</w:t>
      </w:r>
      <w:r>
        <w:rPr>
          <w:rFonts w:hint="eastAsia" w:ascii="仿宋_GB2312" w:hAnsi="华文仿宋" w:eastAsia="仿宋_GB2312"/>
          <w:color w:val="000000"/>
          <w:sz w:val="32"/>
          <w:szCs w:val="32"/>
        </w:rPr>
        <w:t>年</w:t>
      </w:r>
      <w:r>
        <w:rPr>
          <w:rFonts w:hint="eastAsia" w:ascii="仿宋_GB2312" w:hAnsi="华文仿宋" w:eastAsia="仿宋_GB2312"/>
          <w:color w:val="000000"/>
          <w:sz w:val="32"/>
          <w:szCs w:val="32"/>
          <w:lang w:eastAsia="zh-CN"/>
        </w:rPr>
        <w:t>单位</w:t>
      </w:r>
      <w:r>
        <w:rPr>
          <w:rFonts w:hint="eastAsia" w:ascii="仿宋_GB2312" w:hAnsi="华文仿宋" w:eastAsia="仿宋_GB2312"/>
          <w:color w:val="000000"/>
          <w:sz w:val="32"/>
          <w:szCs w:val="32"/>
        </w:rPr>
        <w:t>收入总预算</w:t>
      </w:r>
      <w:r>
        <w:rPr>
          <w:rFonts w:hint="eastAsia" w:ascii="仿宋_GB2312" w:hAnsi="华文仿宋" w:eastAsia="仿宋_GB2312" w:cs="Times New Roman"/>
          <w:b w:val="0"/>
          <w:bCs w:val="0"/>
          <w:color w:val="auto"/>
          <w:kern w:val="2"/>
          <w:sz w:val="32"/>
          <w:szCs w:val="32"/>
          <w:lang w:val="en-US" w:eastAsia="zh-CN" w:bidi="ar-SA"/>
        </w:rPr>
        <w:t>339.17</w:t>
      </w:r>
      <w:r>
        <w:rPr>
          <w:rFonts w:hint="eastAsia" w:ascii="仿宋_GB2312" w:hAnsi="华文仿宋" w:eastAsia="仿宋_GB2312"/>
          <w:color w:val="000000"/>
          <w:sz w:val="32"/>
          <w:szCs w:val="32"/>
        </w:rPr>
        <w:t>万元，</w:t>
      </w:r>
      <w:r>
        <w:rPr>
          <w:rFonts w:hint="eastAsia" w:ascii="仿宋_GB2312" w:hAnsi="华文仿宋" w:eastAsia="仿宋_GB2312" w:cs="Times New Roman"/>
          <w:b w:val="0"/>
          <w:bCs w:val="0"/>
          <w:color w:val="auto"/>
          <w:kern w:val="2"/>
          <w:sz w:val="32"/>
          <w:szCs w:val="32"/>
          <w:lang w:val="en-US" w:eastAsia="zh-CN" w:bidi="ar-SA"/>
        </w:rPr>
        <w:t>同比减少</w:t>
      </w:r>
      <w:r>
        <w:rPr>
          <w:rFonts w:hint="eastAsia" w:ascii="仿宋_GB2312" w:hAnsi="仿宋_GB2312" w:eastAsia="仿宋_GB2312"/>
          <w:sz w:val="32"/>
        </w:rPr>
        <w:t>6.81</w:t>
      </w:r>
      <w:r>
        <w:rPr>
          <w:rFonts w:hint="eastAsia" w:ascii="仿宋_GB2312" w:hAnsi="华文仿宋" w:eastAsia="仿宋_GB2312" w:cs="Times New Roman"/>
          <w:b w:val="0"/>
          <w:bCs w:val="0"/>
          <w:color w:val="auto"/>
          <w:kern w:val="2"/>
          <w:sz w:val="32"/>
          <w:szCs w:val="32"/>
          <w:lang w:val="en-US" w:eastAsia="zh-CN" w:bidi="ar-SA"/>
        </w:rPr>
        <w:t>万元，同比下降1.9%</w:t>
      </w:r>
      <w:r>
        <w:rPr>
          <w:rFonts w:hint="eastAsia" w:ascii="仿宋_GB2312" w:hAnsi="华文仿宋" w:eastAsia="仿宋_GB2312"/>
          <w:sz w:val="32"/>
          <w:szCs w:val="32"/>
        </w:rPr>
        <w:t>。</w:t>
      </w:r>
      <w:r>
        <w:rPr>
          <w:rFonts w:hint="eastAsia" w:ascii="仿宋_GB2312" w:hAnsi="华文仿宋" w:eastAsia="仿宋_GB2312" w:cs="Times New Roman"/>
          <w:b w:val="0"/>
          <w:bCs w:val="0"/>
          <w:strike w:val="0"/>
          <w:color w:val="auto"/>
          <w:kern w:val="2"/>
          <w:sz w:val="32"/>
          <w:szCs w:val="32"/>
          <w:lang w:val="en-US" w:eastAsia="zh-CN" w:bidi="ar-SA"/>
        </w:rPr>
        <w:t>其中：</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s="宋体"/>
          <w:sz w:val="32"/>
          <w:szCs w:val="32"/>
        </w:rPr>
      </w:pPr>
      <w:r>
        <w:rPr>
          <w:rFonts w:hint="eastAsia" w:ascii="仿宋_GB2312" w:hAnsi="华文仿宋" w:eastAsia="仿宋_GB2312" w:cs="Times New Roman"/>
          <w:b w:val="0"/>
          <w:bCs w:val="0"/>
          <w:color w:val="auto"/>
          <w:kern w:val="2"/>
          <w:sz w:val="32"/>
          <w:szCs w:val="32"/>
          <w:lang w:val="en-US" w:eastAsia="zh-CN" w:bidi="ar-SA"/>
        </w:rPr>
        <w:t>（一）</w:t>
      </w:r>
      <w:r>
        <w:rPr>
          <w:rFonts w:hint="eastAsia" w:ascii="仿宋_GB2312" w:hAnsi="华文仿宋" w:eastAsia="仿宋_GB2312"/>
          <w:color w:val="000000"/>
          <w:sz w:val="32"/>
          <w:szCs w:val="32"/>
        </w:rPr>
        <w:t>一般公共</w:t>
      </w:r>
      <w:r>
        <w:rPr>
          <w:rFonts w:hint="eastAsia" w:ascii="仿宋_GB2312" w:hAnsi="华文仿宋" w:eastAsia="仿宋_GB2312"/>
          <w:strike w:val="0"/>
          <w:color w:val="000000"/>
          <w:sz w:val="32"/>
          <w:szCs w:val="32"/>
          <w:lang w:eastAsia="zh-CN"/>
        </w:rPr>
        <w:t>财政预算拨款</w:t>
      </w:r>
      <w:r>
        <w:rPr>
          <w:rFonts w:hint="eastAsia" w:ascii="仿宋_GB2312" w:hAnsi="华文仿宋" w:eastAsia="仿宋_GB2312"/>
          <w:color w:val="000000"/>
          <w:sz w:val="32"/>
          <w:szCs w:val="32"/>
          <w:lang w:val="en-US" w:eastAsia="zh-CN"/>
        </w:rPr>
        <w:t>339.17</w:t>
      </w:r>
      <w:r>
        <w:rPr>
          <w:rFonts w:hint="eastAsia" w:ascii="仿宋_GB2312" w:hAnsi="华文仿宋" w:eastAsia="仿宋_GB2312"/>
          <w:color w:val="000000"/>
          <w:sz w:val="32"/>
          <w:szCs w:val="32"/>
        </w:rPr>
        <w:t>万元</w:t>
      </w:r>
      <w:r>
        <w:rPr>
          <w:rFonts w:hint="eastAsia" w:ascii="仿宋_GB2312" w:hAnsi="华文仿宋" w:eastAsia="仿宋_GB2312"/>
          <w:color w:val="000000"/>
          <w:sz w:val="32"/>
          <w:szCs w:val="32"/>
          <w:lang w:eastAsia="zh-CN"/>
        </w:rPr>
        <w:t>，</w:t>
      </w:r>
      <w:r>
        <w:rPr>
          <w:rFonts w:hint="eastAsia" w:ascii="仿宋_GB2312" w:hAnsi="华文仿宋" w:eastAsia="仿宋_GB2312"/>
          <w:color w:val="auto"/>
          <w:sz w:val="32"/>
          <w:szCs w:val="32"/>
          <w:lang w:eastAsia="zh-CN"/>
        </w:rPr>
        <w:t>占收入总预算</w:t>
      </w:r>
      <w:r>
        <w:rPr>
          <w:rFonts w:hint="eastAsia" w:ascii="仿宋_GB2312" w:hAnsi="华文仿宋" w:eastAsia="仿宋_GB2312"/>
          <w:color w:val="auto"/>
          <w:sz w:val="32"/>
          <w:szCs w:val="32"/>
          <w:lang w:val="en-US" w:eastAsia="zh-CN"/>
        </w:rPr>
        <w:t>100%,</w:t>
      </w:r>
      <w:r>
        <w:rPr>
          <w:rFonts w:hint="eastAsia" w:ascii="仿宋_GB2312" w:hAnsi="华文仿宋" w:eastAsia="仿宋_GB2312"/>
          <w:sz w:val="32"/>
          <w:szCs w:val="32"/>
        </w:rPr>
        <w:t>同比减少</w:t>
      </w:r>
      <w:r>
        <w:rPr>
          <w:rFonts w:hint="eastAsia" w:ascii="仿宋_GB2312" w:hAnsi="华文仿宋" w:eastAsia="仿宋_GB2312"/>
          <w:sz w:val="32"/>
          <w:szCs w:val="32"/>
          <w:lang w:val="en-US" w:eastAsia="zh-CN"/>
        </w:rPr>
        <w:t>6.81</w:t>
      </w:r>
      <w:r>
        <w:rPr>
          <w:rFonts w:hint="eastAsia" w:ascii="仿宋_GB2312" w:hAnsi="华文仿宋" w:eastAsia="仿宋_GB2312"/>
          <w:sz w:val="32"/>
          <w:szCs w:val="32"/>
        </w:rPr>
        <w:t>万元，同比下降</w:t>
      </w:r>
      <w:r>
        <w:rPr>
          <w:rFonts w:hint="eastAsia" w:ascii="仿宋_GB2312" w:hAnsi="华文仿宋" w:eastAsia="仿宋_GB2312"/>
          <w:sz w:val="32"/>
          <w:szCs w:val="32"/>
          <w:lang w:val="en-US" w:eastAsia="zh-CN"/>
        </w:rPr>
        <w:t>1.9</w:t>
      </w:r>
      <w:r>
        <w:rPr>
          <w:rFonts w:hint="eastAsia" w:ascii="仿宋_GB2312" w:hAnsi="华文仿宋" w:eastAsia="仿宋_GB2312"/>
          <w:sz w:val="32"/>
          <w:szCs w:val="32"/>
        </w:rPr>
        <w:t>%。</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sz w:val="32"/>
          <w:szCs w:val="32"/>
          <w:lang w:val="en-US" w:eastAsia="zh-CN"/>
        </w:rPr>
      </w:pPr>
      <w:r>
        <w:rPr>
          <w:rFonts w:hint="eastAsia" w:ascii="仿宋_GB2312" w:hAnsi="华文仿宋" w:eastAsia="仿宋_GB2312"/>
          <w:sz w:val="32"/>
          <w:szCs w:val="32"/>
          <w:lang w:val="en-US" w:eastAsia="zh-CN"/>
        </w:rPr>
        <w:t>2021年收入预算总体减少主要是由于培训费未报批，导致支出减少。</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outlineLvl w:val="9"/>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三、单位支出预算情况说明</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s="宋体"/>
          <w:strike/>
          <w:sz w:val="32"/>
          <w:szCs w:val="32"/>
        </w:rPr>
      </w:pPr>
      <w:r>
        <w:rPr>
          <w:rFonts w:hint="eastAsia" w:ascii="仿宋_GB2312" w:hAnsi="华文仿宋" w:eastAsia="仿宋_GB2312"/>
          <w:color w:val="000000"/>
          <w:sz w:val="32"/>
          <w:szCs w:val="32"/>
          <w:lang w:eastAsia="zh-CN"/>
        </w:rPr>
        <w:t>202</w:t>
      </w:r>
      <w:r>
        <w:rPr>
          <w:rFonts w:hint="eastAsia" w:ascii="仿宋_GB2312" w:hAnsi="华文仿宋" w:eastAsia="仿宋_GB2312"/>
          <w:color w:val="000000"/>
          <w:sz w:val="32"/>
          <w:szCs w:val="32"/>
          <w:lang w:val="en-US" w:eastAsia="zh-CN"/>
        </w:rPr>
        <w:t>1</w:t>
      </w:r>
      <w:r>
        <w:rPr>
          <w:rFonts w:hint="eastAsia" w:ascii="仿宋_GB2312" w:hAnsi="华文仿宋" w:eastAsia="仿宋_GB2312"/>
          <w:color w:val="000000"/>
          <w:sz w:val="32"/>
          <w:szCs w:val="32"/>
        </w:rPr>
        <w:t>年</w:t>
      </w:r>
      <w:r>
        <w:rPr>
          <w:rFonts w:hint="eastAsia" w:ascii="仿宋_GB2312" w:hAnsi="华文仿宋" w:eastAsia="仿宋_GB2312"/>
          <w:color w:val="000000"/>
          <w:sz w:val="32"/>
          <w:szCs w:val="32"/>
          <w:lang w:eastAsia="zh-CN"/>
        </w:rPr>
        <w:t>单位</w:t>
      </w:r>
      <w:r>
        <w:rPr>
          <w:rFonts w:hint="eastAsia" w:ascii="仿宋_GB2312" w:hAnsi="华文仿宋" w:eastAsia="仿宋_GB2312"/>
          <w:color w:val="000000"/>
          <w:sz w:val="32"/>
          <w:szCs w:val="32"/>
        </w:rPr>
        <w:t>支出总预算</w:t>
      </w:r>
      <w:r>
        <w:rPr>
          <w:rFonts w:hint="eastAsia" w:ascii="仿宋_GB2312" w:hAnsi="华文仿宋" w:eastAsia="仿宋_GB2312"/>
          <w:color w:val="000000"/>
          <w:sz w:val="32"/>
          <w:szCs w:val="32"/>
          <w:lang w:val="en-US" w:eastAsia="zh-CN"/>
        </w:rPr>
        <w:t>339.17</w:t>
      </w:r>
      <w:r>
        <w:rPr>
          <w:rFonts w:hint="eastAsia" w:ascii="仿宋_GB2312" w:hAnsi="华文仿宋" w:eastAsia="仿宋_GB2312"/>
          <w:color w:val="000000"/>
          <w:sz w:val="32"/>
          <w:szCs w:val="32"/>
        </w:rPr>
        <w:t>万元，</w:t>
      </w:r>
      <w:r>
        <w:rPr>
          <w:rFonts w:hint="eastAsia" w:ascii="仿宋_GB2312" w:hAnsi="华文仿宋" w:eastAsia="仿宋_GB2312"/>
          <w:color w:val="000000"/>
          <w:sz w:val="32"/>
          <w:szCs w:val="32"/>
          <w:lang w:eastAsia="zh-CN"/>
        </w:rPr>
        <w:t>基本支出预算</w:t>
      </w:r>
      <w:r>
        <w:rPr>
          <w:rFonts w:hint="eastAsia" w:ascii="仿宋_GB2312" w:hAnsi="华文仿宋" w:eastAsia="仿宋_GB2312"/>
          <w:color w:val="000000"/>
          <w:sz w:val="32"/>
          <w:szCs w:val="32"/>
          <w:lang w:val="en-US" w:eastAsia="zh-CN"/>
        </w:rPr>
        <w:t>261.28万元，占支出总预算的</w:t>
      </w:r>
      <w:r>
        <w:rPr>
          <w:rFonts w:hint="eastAsia" w:ascii="仿宋_GB2312" w:hAnsi="仿宋_GB2312" w:eastAsia="仿宋_GB2312"/>
          <w:sz w:val="32"/>
        </w:rPr>
        <w:t>77</w:t>
      </w:r>
      <w:r>
        <w:rPr>
          <w:rFonts w:hint="eastAsia" w:ascii="仿宋_GB2312" w:hAnsi="华文仿宋" w:eastAsia="仿宋_GB2312"/>
          <w:color w:val="000000"/>
          <w:sz w:val="32"/>
          <w:szCs w:val="32"/>
          <w:lang w:val="en-US" w:eastAsia="zh-CN"/>
        </w:rPr>
        <w:t>%,</w:t>
      </w:r>
      <w:r>
        <w:rPr>
          <w:rFonts w:hint="eastAsia" w:ascii="仿宋_GB2312" w:hAnsi="华文仿宋" w:eastAsia="仿宋_GB2312"/>
          <w:sz w:val="32"/>
          <w:szCs w:val="32"/>
        </w:rPr>
        <w:t>同比增加</w:t>
      </w:r>
      <w:r>
        <w:rPr>
          <w:rFonts w:hint="eastAsia" w:ascii="仿宋_GB2312" w:hAnsi="仿宋_GB2312" w:eastAsia="仿宋_GB2312"/>
          <w:sz w:val="32"/>
        </w:rPr>
        <w:t>4.19</w:t>
      </w:r>
      <w:r>
        <w:rPr>
          <w:rFonts w:hint="eastAsia" w:ascii="仿宋_GB2312" w:hAnsi="华文仿宋" w:eastAsia="仿宋_GB2312"/>
          <w:sz w:val="32"/>
          <w:szCs w:val="32"/>
        </w:rPr>
        <w:t>万元，同比增长</w:t>
      </w:r>
      <w:r>
        <w:rPr>
          <w:rFonts w:hint="eastAsia" w:ascii="仿宋_GB2312" w:hAnsi="仿宋_GB2312" w:eastAsia="仿宋_GB2312"/>
          <w:sz w:val="32"/>
        </w:rPr>
        <w:t>1.6</w:t>
      </w:r>
      <w:r>
        <w:rPr>
          <w:rFonts w:hint="eastAsia" w:ascii="仿宋_GB2312" w:hAnsi="华文仿宋" w:eastAsia="仿宋_GB2312"/>
          <w:sz w:val="32"/>
          <w:szCs w:val="32"/>
        </w:rPr>
        <w:t>%。</w:t>
      </w:r>
      <w:r>
        <w:rPr>
          <w:rFonts w:hint="eastAsia" w:ascii="仿宋_GB2312" w:hAnsi="华文仿宋" w:eastAsia="仿宋_GB2312"/>
          <w:sz w:val="32"/>
          <w:szCs w:val="32"/>
          <w:lang w:eastAsia="zh-CN"/>
        </w:rPr>
        <w:t>项目支出预算</w:t>
      </w:r>
      <w:r>
        <w:rPr>
          <w:rFonts w:hint="eastAsia" w:ascii="仿宋_GB2312" w:hAnsi="仿宋_GB2312" w:eastAsia="仿宋_GB2312"/>
          <w:color w:val="000000"/>
          <w:sz w:val="32"/>
          <w:lang w:val="en-US"/>
        </w:rPr>
        <w:t>77.89</w:t>
      </w:r>
      <w:r>
        <w:rPr>
          <w:rFonts w:hint="eastAsia" w:ascii="仿宋_GB2312" w:hAnsi="华文仿宋" w:eastAsia="仿宋_GB2312"/>
          <w:sz w:val="32"/>
          <w:szCs w:val="32"/>
          <w:lang w:val="en-US" w:eastAsia="zh-CN"/>
        </w:rPr>
        <w:t>万元，占支出总预算的</w:t>
      </w:r>
      <w:r>
        <w:rPr>
          <w:rFonts w:hint="eastAsia" w:ascii="仿宋_GB2312" w:hAnsi="仿宋_GB2312" w:eastAsia="仿宋_GB2312"/>
          <w:sz w:val="32"/>
        </w:rPr>
        <w:t>2</w:t>
      </w:r>
      <w:r>
        <w:rPr>
          <w:rFonts w:hint="eastAsia" w:ascii="仿宋_GB2312" w:hAnsi="仿宋_GB2312" w:eastAsia="仿宋_GB2312"/>
          <w:sz w:val="32"/>
          <w:lang w:val="en-US" w:eastAsia="zh-CN"/>
        </w:rPr>
        <w:t>3</w:t>
      </w:r>
      <w:r>
        <w:rPr>
          <w:rFonts w:hint="eastAsia" w:ascii="仿宋_GB2312" w:hAnsi="华文仿宋" w:eastAsia="仿宋_GB2312"/>
          <w:sz w:val="32"/>
          <w:szCs w:val="32"/>
          <w:lang w:val="en-US" w:eastAsia="zh-CN"/>
        </w:rPr>
        <w:t>%,</w:t>
      </w:r>
      <w:r>
        <w:rPr>
          <w:rFonts w:hint="eastAsia" w:ascii="仿宋_GB2312" w:hAnsi="华文仿宋" w:eastAsia="仿宋_GB2312"/>
          <w:sz w:val="32"/>
          <w:szCs w:val="32"/>
        </w:rPr>
        <w:t>同比减少</w:t>
      </w:r>
      <w:r>
        <w:rPr>
          <w:rFonts w:hint="eastAsia" w:ascii="仿宋_GB2312" w:hAnsi="仿宋_GB2312" w:eastAsia="仿宋_GB2312"/>
          <w:sz w:val="32"/>
        </w:rPr>
        <w:t>11</w:t>
      </w:r>
      <w:r>
        <w:rPr>
          <w:rFonts w:hint="eastAsia" w:ascii="仿宋_GB2312" w:hAnsi="华文仿宋" w:eastAsia="仿宋_GB2312"/>
          <w:sz w:val="32"/>
          <w:szCs w:val="32"/>
        </w:rPr>
        <w:t>万元，同比下降</w:t>
      </w:r>
      <w:r>
        <w:rPr>
          <w:rFonts w:hint="eastAsia" w:ascii="仿宋_GB2312" w:hAnsi="仿宋_GB2312" w:eastAsia="仿宋_GB2312"/>
          <w:sz w:val="32"/>
        </w:rPr>
        <w:t>12.</w:t>
      </w:r>
      <w:r>
        <w:rPr>
          <w:rFonts w:hint="eastAsia" w:ascii="仿宋_GB2312" w:hAnsi="仿宋_GB2312" w:eastAsia="仿宋_GB2312"/>
          <w:sz w:val="32"/>
          <w:lang w:val="en-US" w:eastAsia="zh-CN"/>
        </w:rPr>
        <w:t>4</w:t>
      </w:r>
      <w:r>
        <w:rPr>
          <w:rFonts w:hint="eastAsia" w:ascii="仿宋_GB2312" w:hAnsi="华文仿宋" w:eastAsia="仿宋_GB2312"/>
          <w:sz w:val="32"/>
          <w:szCs w:val="32"/>
        </w:rPr>
        <w:t>%。</w:t>
      </w:r>
    </w:p>
    <w:p>
      <w:pPr>
        <w:pStyle w:val="3"/>
        <w:keepNext w:val="0"/>
        <w:keepLines w:val="0"/>
        <w:pageBreakBefore w:val="0"/>
        <w:numPr>
          <w:ilvl w:val="0"/>
          <w:numId w:val="2"/>
        </w:numPr>
        <w:kinsoku/>
        <w:wordWrap/>
        <w:overflowPunct/>
        <w:topLinePunct w:val="0"/>
        <w:autoSpaceDE/>
        <w:autoSpaceDN/>
        <w:bidi w:val="0"/>
        <w:spacing w:before="0" w:beforeAutospacing="0" w:after="0" w:afterAutospacing="0" w:line="560" w:lineRule="exact"/>
        <w:ind w:firstLine="640" w:firstLineChars="200"/>
        <w:jc w:val="both"/>
        <w:textAlignment w:val="auto"/>
        <w:outlineLvl w:val="9"/>
        <w:rPr>
          <w:rFonts w:hint="eastAsia" w:ascii="仿宋_GB2312" w:hAnsi="华文仿宋" w:eastAsia="仿宋_GB2312" w:cs="Times New Roman"/>
          <w:kern w:val="2"/>
          <w:sz w:val="32"/>
          <w:szCs w:val="32"/>
          <w:lang w:val="en-US" w:eastAsia="zh-CN" w:bidi="ar-SA"/>
        </w:rPr>
      </w:pPr>
      <w:r>
        <w:rPr>
          <w:rFonts w:hint="eastAsia" w:ascii="仿宋_GB2312" w:hAnsi="华文仿宋" w:eastAsia="仿宋_GB2312" w:cs="Times New Roman"/>
          <w:kern w:val="2"/>
          <w:sz w:val="32"/>
          <w:szCs w:val="32"/>
          <w:lang w:val="en-US" w:eastAsia="zh-CN" w:bidi="ar-SA"/>
        </w:rPr>
        <w:t>按支出功能分类科目划分，共分为4类，其中：</w:t>
      </w:r>
    </w:p>
    <w:p>
      <w:pPr>
        <w:pStyle w:val="3"/>
        <w:keepNext w:val="0"/>
        <w:keepLines w:val="0"/>
        <w:pageBreakBefore w:val="0"/>
        <w:numPr>
          <w:ilvl w:val="0"/>
          <w:numId w:val="0"/>
        </w:numPr>
        <w:kinsoku/>
        <w:wordWrap/>
        <w:overflowPunct/>
        <w:topLinePunct w:val="0"/>
        <w:autoSpaceDE/>
        <w:autoSpaceDN/>
        <w:bidi w:val="0"/>
        <w:spacing w:before="0" w:beforeAutospacing="0" w:after="0" w:afterAutospacing="0" w:line="560" w:lineRule="exact"/>
        <w:ind w:firstLine="640" w:firstLineChars="200"/>
        <w:jc w:val="both"/>
        <w:textAlignment w:val="auto"/>
        <w:outlineLvl w:val="9"/>
        <w:rPr>
          <w:rFonts w:hint="eastAsia" w:ascii="仿宋_GB2312" w:hAnsi="华文仿宋" w:eastAsia="仿宋_GB2312" w:cs="Times New Roman"/>
          <w:kern w:val="2"/>
          <w:sz w:val="32"/>
          <w:szCs w:val="32"/>
          <w:lang w:val="en-US" w:eastAsia="zh-CN" w:bidi="ar-SA"/>
        </w:rPr>
      </w:pPr>
      <w:r>
        <w:rPr>
          <w:rFonts w:hint="eastAsia" w:ascii="仿宋_GB2312" w:hAnsi="华文仿宋" w:eastAsia="仿宋_GB2312" w:cs="Times New Roman"/>
          <w:kern w:val="2"/>
          <w:sz w:val="32"/>
          <w:szCs w:val="32"/>
          <w:lang w:val="en-US" w:eastAsia="zh-CN" w:bidi="ar-SA"/>
        </w:rPr>
        <w:t>1.</w:t>
      </w:r>
      <w:r>
        <w:rPr>
          <w:rFonts w:hint="eastAsia" w:ascii="仿宋_GB2312" w:hAnsi="华文仿宋" w:eastAsia="仿宋_GB2312" w:cs="Times New Roman"/>
          <w:b w:val="0"/>
          <w:bCs w:val="0"/>
          <w:color w:val="auto"/>
          <w:kern w:val="2"/>
          <w:sz w:val="32"/>
          <w:szCs w:val="32"/>
          <w:lang w:val="en-US" w:eastAsia="zh-CN" w:bidi="ar-SA"/>
        </w:rPr>
        <w:t>社会保障和就业支出48.11万元，</w:t>
      </w:r>
      <w:r>
        <w:rPr>
          <w:rFonts w:hint="eastAsia" w:ascii="仿宋_GB2312" w:hAnsi="华文仿宋" w:eastAsia="仿宋_GB2312" w:cs="Times New Roman"/>
          <w:kern w:val="2"/>
          <w:sz w:val="32"/>
          <w:szCs w:val="32"/>
          <w:lang w:val="en-US" w:eastAsia="zh-CN" w:bidi="ar-SA"/>
        </w:rPr>
        <w:t>占支出总预算</w:t>
      </w:r>
      <w:r>
        <w:rPr>
          <w:rFonts w:hint="eastAsia" w:ascii="仿宋_GB2312" w:hAnsi="仿宋_GB2312" w:eastAsia="仿宋_GB2312"/>
          <w:sz w:val="32"/>
        </w:rPr>
        <w:t>14.</w:t>
      </w:r>
      <w:r>
        <w:rPr>
          <w:rFonts w:hint="eastAsia" w:ascii="仿宋_GB2312" w:hAnsi="仿宋_GB2312" w:eastAsia="仿宋_GB2312"/>
          <w:sz w:val="32"/>
          <w:lang w:val="en-US" w:eastAsia="zh-CN"/>
        </w:rPr>
        <w:t>2</w:t>
      </w:r>
      <w:r>
        <w:rPr>
          <w:rFonts w:hint="eastAsia" w:ascii="仿宋_GB2312" w:hAnsi="华文仿宋" w:eastAsia="仿宋_GB2312" w:cs="Times New Roman"/>
          <w:kern w:val="2"/>
          <w:sz w:val="32"/>
          <w:szCs w:val="32"/>
          <w:lang w:val="en-US" w:eastAsia="zh-CN" w:bidi="ar-SA"/>
        </w:rPr>
        <w:t>%，同比增加</w:t>
      </w:r>
      <w:r>
        <w:rPr>
          <w:rFonts w:hint="eastAsia" w:ascii="仿宋_GB2312" w:hAnsi="仿宋_GB2312" w:eastAsia="仿宋_GB2312"/>
          <w:sz w:val="32"/>
        </w:rPr>
        <w:t>4.07</w:t>
      </w:r>
      <w:r>
        <w:rPr>
          <w:rFonts w:hint="eastAsia" w:ascii="仿宋_GB2312" w:hAnsi="华文仿宋" w:eastAsia="仿宋_GB2312" w:cs="Times New Roman"/>
          <w:kern w:val="2"/>
          <w:sz w:val="32"/>
          <w:szCs w:val="32"/>
          <w:lang w:val="en-US" w:eastAsia="zh-CN" w:bidi="ar-SA"/>
        </w:rPr>
        <w:t>万元，同比增长</w:t>
      </w:r>
      <w:r>
        <w:rPr>
          <w:rFonts w:hint="eastAsia" w:ascii="仿宋_GB2312" w:hAnsi="仿宋_GB2312" w:eastAsia="仿宋_GB2312"/>
          <w:sz w:val="32"/>
        </w:rPr>
        <w:t>9.2</w:t>
      </w:r>
      <w:r>
        <w:rPr>
          <w:rFonts w:hint="eastAsia" w:ascii="仿宋_GB2312" w:hAnsi="华文仿宋" w:eastAsia="仿宋_GB2312" w:cs="Times New Roman"/>
          <w:kern w:val="2"/>
          <w:sz w:val="32"/>
          <w:szCs w:val="32"/>
          <w:lang w:val="en-US" w:eastAsia="zh-CN" w:bidi="ar-SA"/>
        </w:rPr>
        <w:t>%。</w:t>
      </w:r>
    </w:p>
    <w:p>
      <w:pPr>
        <w:pStyle w:val="3"/>
        <w:keepNext w:val="0"/>
        <w:keepLines w:val="0"/>
        <w:pageBreakBefore w:val="0"/>
        <w:numPr>
          <w:ilvl w:val="0"/>
          <w:numId w:val="0"/>
        </w:numPr>
        <w:kinsoku/>
        <w:wordWrap/>
        <w:overflowPunct/>
        <w:topLinePunct w:val="0"/>
        <w:autoSpaceDE/>
        <w:autoSpaceDN/>
        <w:bidi w:val="0"/>
        <w:spacing w:before="0" w:beforeAutospacing="0" w:after="0" w:afterAutospacing="0" w:line="560" w:lineRule="exact"/>
        <w:ind w:firstLine="640" w:firstLineChars="200"/>
        <w:jc w:val="both"/>
        <w:textAlignment w:val="auto"/>
        <w:outlineLvl w:val="9"/>
        <w:rPr>
          <w:rFonts w:hint="eastAsia" w:ascii="仿宋_GB2312" w:hAnsi="华文仿宋" w:eastAsia="仿宋_GB2312" w:cs="Times New Roman"/>
          <w:kern w:val="2"/>
          <w:sz w:val="32"/>
          <w:szCs w:val="32"/>
          <w:lang w:val="en-US" w:eastAsia="zh-CN" w:bidi="ar-SA"/>
        </w:rPr>
      </w:pPr>
      <w:r>
        <w:rPr>
          <w:rFonts w:hint="eastAsia" w:ascii="仿宋_GB2312" w:hAnsi="华文仿宋" w:eastAsia="仿宋_GB2312" w:cs="Times New Roman"/>
          <w:kern w:val="2"/>
          <w:sz w:val="32"/>
          <w:szCs w:val="32"/>
          <w:lang w:val="en-US" w:eastAsia="zh-CN" w:bidi="ar-SA"/>
        </w:rPr>
        <w:t>2.</w:t>
      </w:r>
      <w:r>
        <w:rPr>
          <w:rFonts w:hint="eastAsia" w:ascii="仿宋_GB2312" w:hAnsi="华文仿宋" w:eastAsia="仿宋_GB2312" w:cs="Times New Roman"/>
          <w:b w:val="0"/>
          <w:bCs w:val="0"/>
          <w:color w:val="auto"/>
          <w:kern w:val="2"/>
          <w:sz w:val="32"/>
          <w:szCs w:val="32"/>
          <w:lang w:val="en-US" w:eastAsia="zh-CN" w:bidi="ar-SA"/>
        </w:rPr>
        <w:t>卫生健康支出17.92万元</w:t>
      </w:r>
      <w:r>
        <w:rPr>
          <w:rFonts w:hint="eastAsia" w:ascii="仿宋_GB2312" w:hAnsi="华文仿宋" w:eastAsia="仿宋_GB2312" w:cs="Times New Roman"/>
          <w:kern w:val="2"/>
          <w:sz w:val="32"/>
          <w:szCs w:val="32"/>
          <w:lang w:val="en-US" w:eastAsia="zh-CN" w:bidi="ar-SA"/>
        </w:rPr>
        <w:t>，占支出总预算</w:t>
      </w:r>
      <w:r>
        <w:rPr>
          <w:rFonts w:hint="eastAsia" w:ascii="仿宋_GB2312" w:hAnsi="仿宋_GB2312" w:eastAsia="仿宋_GB2312"/>
          <w:sz w:val="32"/>
        </w:rPr>
        <w:t>5.</w:t>
      </w:r>
      <w:r>
        <w:rPr>
          <w:rFonts w:hint="eastAsia" w:ascii="仿宋_GB2312" w:hAnsi="仿宋_GB2312" w:eastAsia="仿宋_GB2312"/>
          <w:sz w:val="32"/>
          <w:lang w:val="en-US" w:eastAsia="zh-CN"/>
        </w:rPr>
        <w:t>3</w:t>
      </w:r>
      <w:r>
        <w:rPr>
          <w:rFonts w:hint="eastAsia" w:ascii="仿宋_GB2312" w:hAnsi="华文仿宋" w:eastAsia="仿宋_GB2312" w:cs="Times New Roman"/>
          <w:kern w:val="2"/>
          <w:sz w:val="32"/>
          <w:szCs w:val="32"/>
          <w:lang w:val="en-US" w:eastAsia="zh-CN" w:bidi="ar-SA"/>
        </w:rPr>
        <w:t>%，同比增加</w:t>
      </w:r>
      <w:r>
        <w:rPr>
          <w:rFonts w:hint="eastAsia" w:ascii="仿宋_GB2312" w:hAnsi="仿宋_GB2312" w:eastAsia="仿宋_GB2312"/>
          <w:sz w:val="32"/>
        </w:rPr>
        <w:t>2.03</w:t>
      </w:r>
      <w:r>
        <w:rPr>
          <w:rFonts w:hint="eastAsia" w:ascii="仿宋_GB2312" w:hAnsi="华文仿宋" w:eastAsia="仿宋_GB2312" w:cs="Times New Roman"/>
          <w:kern w:val="2"/>
          <w:sz w:val="32"/>
          <w:szCs w:val="32"/>
          <w:lang w:val="en-US" w:eastAsia="zh-CN" w:bidi="ar-SA"/>
        </w:rPr>
        <w:t>万元，同比增长</w:t>
      </w:r>
      <w:r>
        <w:rPr>
          <w:rFonts w:hint="eastAsia" w:ascii="仿宋_GB2312" w:hAnsi="仿宋_GB2312" w:eastAsia="仿宋_GB2312"/>
          <w:sz w:val="32"/>
        </w:rPr>
        <w:t>11.6</w:t>
      </w:r>
      <w:r>
        <w:rPr>
          <w:rFonts w:hint="eastAsia" w:ascii="仿宋_GB2312" w:hAnsi="华文仿宋" w:eastAsia="仿宋_GB2312" w:cs="Times New Roman"/>
          <w:kern w:val="2"/>
          <w:sz w:val="32"/>
          <w:szCs w:val="32"/>
          <w:lang w:val="en-US" w:eastAsia="zh-CN" w:bidi="ar-SA"/>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outlineLvl w:val="9"/>
        <w:rPr>
          <w:rFonts w:hint="eastAsia" w:ascii="仿宋_GB2312" w:hAnsi="华文仿宋" w:eastAsia="仿宋_GB2312" w:cs="Times New Roman"/>
          <w:kern w:val="2"/>
          <w:sz w:val="32"/>
          <w:szCs w:val="32"/>
          <w:lang w:val="en-US" w:eastAsia="zh-CN" w:bidi="ar-SA"/>
        </w:rPr>
      </w:pPr>
      <w:r>
        <w:rPr>
          <w:rFonts w:hint="eastAsia" w:ascii="仿宋_GB2312" w:hAnsi="华文仿宋" w:eastAsia="仿宋_GB2312" w:cs="Times New Roman"/>
          <w:kern w:val="2"/>
          <w:sz w:val="32"/>
          <w:szCs w:val="32"/>
          <w:lang w:val="en-US" w:eastAsia="zh-CN" w:bidi="ar-SA"/>
        </w:rPr>
        <w:t>3.</w:t>
      </w:r>
      <w:r>
        <w:rPr>
          <w:rFonts w:hint="eastAsia" w:ascii="仿宋_GB2312" w:hAnsi="华文仿宋" w:eastAsia="仿宋_GB2312" w:cs="Times New Roman"/>
          <w:b w:val="0"/>
          <w:bCs w:val="0"/>
          <w:color w:val="auto"/>
          <w:kern w:val="2"/>
          <w:sz w:val="32"/>
          <w:szCs w:val="32"/>
          <w:lang w:val="en-US" w:eastAsia="zh-CN" w:bidi="ar-SA"/>
        </w:rPr>
        <w:t>住房保障支出19.47万元</w:t>
      </w:r>
      <w:r>
        <w:rPr>
          <w:rFonts w:hint="eastAsia" w:ascii="仿宋_GB2312" w:hAnsi="华文仿宋" w:eastAsia="仿宋_GB2312" w:cs="Times New Roman"/>
          <w:kern w:val="2"/>
          <w:sz w:val="32"/>
          <w:szCs w:val="32"/>
          <w:lang w:val="en-US" w:eastAsia="zh-CN" w:bidi="ar-SA"/>
        </w:rPr>
        <w:t>，占支出总预算</w:t>
      </w:r>
      <w:r>
        <w:rPr>
          <w:rFonts w:hint="eastAsia" w:ascii="仿宋_GB2312" w:hAnsi="仿宋_GB2312" w:eastAsia="仿宋_GB2312"/>
          <w:sz w:val="32"/>
        </w:rPr>
        <w:t>5.7</w:t>
      </w:r>
      <w:r>
        <w:rPr>
          <w:rFonts w:hint="eastAsia" w:ascii="仿宋_GB2312" w:hAnsi="华文仿宋" w:eastAsia="仿宋_GB2312" w:cs="Times New Roman"/>
          <w:kern w:val="2"/>
          <w:sz w:val="32"/>
          <w:szCs w:val="32"/>
          <w:lang w:val="en-US" w:eastAsia="zh-CN" w:bidi="ar-SA"/>
        </w:rPr>
        <w:t>%，同比增加</w:t>
      </w:r>
      <w:r>
        <w:rPr>
          <w:rFonts w:hint="eastAsia" w:ascii="仿宋_GB2312" w:hAnsi="仿宋_GB2312" w:eastAsia="仿宋_GB2312"/>
          <w:sz w:val="32"/>
        </w:rPr>
        <w:t>2.03</w:t>
      </w:r>
      <w:r>
        <w:rPr>
          <w:rFonts w:hint="eastAsia" w:ascii="仿宋_GB2312" w:hAnsi="华文仿宋" w:eastAsia="仿宋_GB2312" w:cs="Times New Roman"/>
          <w:kern w:val="2"/>
          <w:sz w:val="32"/>
          <w:szCs w:val="32"/>
          <w:lang w:val="en-US" w:eastAsia="zh-CN" w:bidi="ar-SA"/>
        </w:rPr>
        <w:t>万元，同比增长</w:t>
      </w:r>
      <w:r>
        <w:rPr>
          <w:rFonts w:hint="eastAsia" w:ascii="仿宋_GB2312" w:hAnsi="仿宋_GB2312" w:eastAsia="仿宋_GB2312"/>
          <w:sz w:val="32"/>
        </w:rPr>
        <w:t>11.6</w:t>
      </w:r>
      <w:r>
        <w:rPr>
          <w:rFonts w:hint="eastAsia" w:ascii="仿宋_GB2312" w:hAnsi="华文仿宋" w:eastAsia="仿宋_GB2312" w:cs="Times New Roman"/>
          <w:kern w:val="2"/>
          <w:sz w:val="32"/>
          <w:szCs w:val="32"/>
          <w:lang w:val="en-US" w:eastAsia="zh-CN" w:bidi="ar-SA"/>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outlineLvl w:val="9"/>
        <w:rPr>
          <w:rFonts w:hint="default" w:ascii="仿宋_GB2312" w:hAnsi="华文仿宋" w:eastAsia="仿宋_GB2312" w:cs="Times New Roman"/>
          <w:kern w:val="2"/>
          <w:sz w:val="32"/>
          <w:szCs w:val="32"/>
          <w:lang w:val="en-US" w:eastAsia="zh-CN" w:bidi="ar-SA"/>
        </w:rPr>
      </w:pPr>
      <w:r>
        <w:rPr>
          <w:rFonts w:hint="eastAsia" w:ascii="仿宋_GB2312" w:hAnsi="华文仿宋" w:eastAsia="仿宋_GB2312" w:cs="Times New Roman"/>
          <w:kern w:val="2"/>
          <w:sz w:val="32"/>
          <w:szCs w:val="32"/>
          <w:lang w:val="en-US" w:eastAsia="zh-CN" w:bidi="ar-SA"/>
        </w:rPr>
        <w:t>4.</w:t>
      </w:r>
      <w:r>
        <w:rPr>
          <w:rFonts w:hint="eastAsia" w:ascii="仿宋_GB2312" w:hAnsi="华文仿宋" w:eastAsia="仿宋_GB2312" w:cs="Times New Roman"/>
          <w:b w:val="0"/>
          <w:bCs w:val="0"/>
          <w:color w:val="auto"/>
          <w:kern w:val="2"/>
          <w:sz w:val="32"/>
          <w:szCs w:val="32"/>
          <w:lang w:val="en-US" w:eastAsia="zh-CN" w:bidi="ar-SA"/>
        </w:rPr>
        <w:t>粮油物资储备支出253.66万元，</w:t>
      </w:r>
      <w:r>
        <w:rPr>
          <w:rFonts w:hint="eastAsia" w:ascii="仿宋_GB2312" w:hAnsi="华文仿宋" w:eastAsia="仿宋_GB2312" w:cs="Times New Roman"/>
          <w:kern w:val="2"/>
          <w:sz w:val="32"/>
          <w:szCs w:val="32"/>
          <w:lang w:val="en-US" w:eastAsia="zh-CN" w:bidi="ar-SA"/>
        </w:rPr>
        <w:t>占支出总预算</w:t>
      </w:r>
      <w:r>
        <w:rPr>
          <w:rFonts w:hint="eastAsia" w:ascii="仿宋_GB2312" w:hAnsi="仿宋_GB2312" w:eastAsia="仿宋_GB2312"/>
          <w:sz w:val="32"/>
        </w:rPr>
        <w:t>74.</w:t>
      </w:r>
      <w:r>
        <w:rPr>
          <w:rFonts w:hint="eastAsia" w:ascii="仿宋_GB2312" w:hAnsi="仿宋_GB2312" w:eastAsia="仿宋_GB2312"/>
          <w:sz w:val="32"/>
          <w:lang w:val="en-US" w:eastAsia="zh-CN"/>
        </w:rPr>
        <w:t>8</w:t>
      </w:r>
      <w:r>
        <w:rPr>
          <w:rFonts w:hint="eastAsia" w:ascii="仿宋_GB2312" w:hAnsi="华文仿宋" w:eastAsia="仿宋_GB2312" w:cs="Times New Roman"/>
          <w:kern w:val="2"/>
          <w:sz w:val="32"/>
          <w:szCs w:val="32"/>
          <w:lang w:val="en-US" w:eastAsia="zh-CN" w:bidi="ar-SA"/>
        </w:rPr>
        <w:t>%，同比</w:t>
      </w:r>
      <w:r>
        <w:rPr>
          <w:rFonts w:hint="eastAsia" w:ascii="仿宋_GB2312" w:hAnsi="仿宋_GB2312" w:eastAsia="仿宋_GB2312"/>
          <w:sz w:val="32"/>
        </w:rPr>
        <w:t>减少</w:t>
      </w:r>
      <w:r>
        <w:rPr>
          <w:rFonts w:hint="eastAsia" w:ascii="仿宋_GB2312" w:hAnsi="仿宋_GB2312" w:eastAsia="仿宋_GB2312"/>
          <w:color w:val="000000"/>
          <w:sz w:val="32"/>
          <w:lang w:val="en-US"/>
        </w:rPr>
        <w:t>9.97</w:t>
      </w:r>
      <w:r>
        <w:rPr>
          <w:rFonts w:hint="eastAsia" w:ascii="仿宋_GB2312" w:hAnsi="华文仿宋" w:eastAsia="仿宋_GB2312" w:cs="Times New Roman"/>
          <w:kern w:val="2"/>
          <w:sz w:val="32"/>
          <w:szCs w:val="32"/>
          <w:lang w:val="en-US" w:eastAsia="zh-CN" w:bidi="ar-SA"/>
        </w:rPr>
        <w:t>万元，同比下降</w:t>
      </w:r>
      <w:r>
        <w:rPr>
          <w:rFonts w:hint="eastAsia" w:ascii="仿宋_GB2312" w:hAnsi="仿宋_GB2312" w:eastAsia="仿宋_GB2312"/>
          <w:sz w:val="32"/>
        </w:rPr>
        <w:t>3.</w:t>
      </w:r>
      <w:r>
        <w:rPr>
          <w:rFonts w:hint="eastAsia" w:ascii="仿宋_GB2312" w:hAnsi="仿宋_GB2312" w:eastAsia="仿宋_GB2312"/>
          <w:sz w:val="32"/>
          <w:lang w:val="en-US" w:eastAsia="zh-CN"/>
        </w:rPr>
        <w:t>8</w:t>
      </w:r>
      <w:r>
        <w:rPr>
          <w:rFonts w:hint="eastAsia" w:ascii="仿宋_GB2312" w:hAnsi="华文仿宋" w:eastAsia="仿宋_GB2312" w:cs="Times New Roman"/>
          <w:kern w:val="2"/>
          <w:sz w:val="32"/>
          <w:szCs w:val="32"/>
          <w:lang w:val="en-US" w:eastAsia="zh-CN" w:bidi="ar-SA"/>
        </w:rPr>
        <w:t>%。</w:t>
      </w:r>
    </w:p>
    <w:p>
      <w:pPr>
        <w:pStyle w:val="3"/>
        <w:numPr>
          <w:ilvl w:val="0"/>
          <w:numId w:val="2"/>
        </w:numPr>
        <w:spacing w:before="0" w:beforeAutospacing="0" w:after="0" w:afterAutospacing="0" w:line="560" w:lineRule="exact"/>
        <w:ind w:firstLine="640" w:firstLineChars="200"/>
        <w:jc w:val="both"/>
        <w:rPr>
          <w:rFonts w:hint="eastAsia" w:ascii="仿宋_GB2312" w:hAnsi="华文仿宋" w:eastAsia="仿宋_GB2312" w:cs="Times New Roman"/>
          <w:kern w:val="2"/>
          <w:sz w:val="32"/>
          <w:szCs w:val="32"/>
          <w:lang w:val="en-US" w:eastAsia="zh-CN" w:bidi="ar-SA"/>
        </w:rPr>
      </w:pPr>
      <w:r>
        <w:rPr>
          <w:rFonts w:hint="eastAsia" w:ascii="仿宋_GB2312" w:hAnsi="华文仿宋" w:eastAsia="仿宋_GB2312" w:cs="Times New Roman"/>
          <w:kern w:val="2"/>
          <w:sz w:val="32"/>
          <w:szCs w:val="32"/>
          <w:lang w:val="en-US" w:eastAsia="zh-CN" w:bidi="ar-SA"/>
        </w:rPr>
        <w:t>按支出结构分类划分，分为基本支出预算和项目支出预算。</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outlineLvl w:val="9"/>
        <w:rPr>
          <w:rFonts w:hint="default" w:ascii="仿宋_GB2312" w:hAnsi="华文仿宋" w:eastAsia="仿宋_GB2312" w:cs="Times New Roman"/>
          <w:strike w:val="0"/>
          <w:color w:val="auto"/>
          <w:kern w:val="2"/>
          <w:sz w:val="32"/>
          <w:szCs w:val="32"/>
          <w:lang w:val="en-US" w:eastAsia="zh-CN" w:bidi="ar-SA"/>
        </w:rPr>
      </w:pPr>
      <w:r>
        <w:rPr>
          <w:rFonts w:hint="eastAsia" w:ascii="仿宋_GB2312" w:hAnsi="华文仿宋" w:eastAsia="仿宋_GB2312" w:cs="Times New Roman"/>
          <w:kern w:val="2"/>
          <w:sz w:val="32"/>
          <w:szCs w:val="32"/>
          <w:lang w:val="en-US" w:eastAsia="zh-CN" w:bidi="ar-SA"/>
        </w:rPr>
        <w:t>1.基本支出预算</w:t>
      </w:r>
      <w:r>
        <w:rPr>
          <w:rFonts w:hint="eastAsia" w:ascii="仿宋_GB2312" w:hAnsi="华文仿宋" w:eastAsia="仿宋_GB2312"/>
          <w:color w:val="000000"/>
          <w:sz w:val="32"/>
          <w:szCs w:val="32"/>
          <w:lang w:val="en-US" w:eastAsia="zh-CN"/>
        </w:rPr>
        <w:t>261.28</w:t>
      </w:r>
      <w:r>
        <w:rPr>
          <w:rFonts w:hint="eastAsia" w:ascii="仿宋_GB2312" w:hAnsi="华文仿宋" w:eastAsia="仿宋_GB2312" w:cs="Times New Roman"/>
          <w:kern w:val="2"/>
          <w:sz w:val="32"/>
          <w:szCs w:val="32"/>
          <w:lang w:val="en-US" w:eastAsia="zh-CN" w:bidi="ar-SA"/>
        </w:rPr>
        <w:t>万元，占一般公共预算拨款支出预算</w:t>
      </w:r>
      <w:r>
        <w:rPr>
          <w:rFonts w:hint="eastAsia" w:ascii="仿宋_GB2312" w:hAnsi="仿宋_GB2312" w:eastAsia="仿宋_GB2312"/>
          <w:sz w:val="32"/>
        </w:rPr>
        <w:t>77</w:t>
      </w:r>
      <w:r>
        <w:rPr>
          <w:rFonts w:hint="eastAsia" w:ascii="仿宋_GB2312" w:hAnsi="华文仿宋" w:eastAsia="仿宋_GB2312" w:cs="Times New Roman"/>
          <w:kern w:val="2"/>
          <w:sz w:val="32"/>
          <w:szCs w:val="32"/>
          <w:lang w:val="en-US" w:eastAsia="zh-CN" w:bidi="ar-SA"/>
        </w:rPr>
        <w:t>%，</w:t>
      </w:r>
      <w:r>
        <w:rPr>
          <w:rFonts w:hint="eastAsia" w:ascii="仿宋_GB2312" w:hAnsi="华文仿宋" w:eastAsia="仿宋_GB2312"/>
          <w:sz w:val="32"/>
          <w:szCs w:val="32"/>
        </w:rPr>
        <w:t>同比增加</w:t>
      </w:r>
      <w:r>
        <w:rPr>
          <w:rFonts w:hint="eastAsia" w:ascii="仿宋_GB2312" w:hAnsi="仿宋_GB2312" w:eastAsia="仿宋_GB2312"/>
          <w:sz w:val="32"/>
        </w:rPr>
        <w:t>4.19</w:t>
      </w:r>
      <w:r>
        <w:rPr>
          <w:rFonts w:hint="eastAsia" w:ascii="仿宋_GB2312" w:hAnsi="华文仿宋" w:eastAsia="仿宋_GB2312"/>
          <w:sz w:val="32"/>
          <w:szCs w:val="32"/>
        </w:rPr>
        <w:t>万元，同比增长</w:t>
      </w:r>
      <w:r>
        <w:rPr>
          <w:rFonts w:hint="eastAsia" w:ascii="仿宋_GB2312" w:hAnsi="仿宋_GB2312" w:eastAsia="仿宋_GB2312"/>
          <w:sz w:val="32"/>
        </w:rPr>
        <w:t>1.6</w:t>
      </w:r>
      <w:r>
        <w:rPr>
          <w:rFonts w:hint="eastAsia" w:ascii="仿宋_GB2312" w:hAnsi="华文仿宋" w:eastAsia="仿宋_GB2312"/>
          <w:sz w:val="32"/>
          <w:szCs w:val="32"/>
        </w:rPr>
        <w:t>%</w:t>
      </w:r>
      <w:r>
        <w:rPr>
          <w:rFonts w:hint="eastAsia" w:ascii="仿宋_GB2312" w:hAnsi="华文仿宋" w:eastAsia="仿宋_GB2312" w:cs="Times New Roman"/>
          <w:kern w:val="2"/>
          <w:sz w:val="32"/>
          <w:szCs w:val="32"/>
          <w:lang w:val="en-US" w:eastAsia="zh-CN" w:bidi="ar-SA"/>
        </w:rPr>
        <w:t>。</w:t>
      </w:r>
    </w:p>
    <w:p>
      <w:pPr>
        <w:pStyle w:val="3"/>
        <w:tabs>
          <w:tab w:val="center" w:pos="4475"/>
        </w:tabs>
        <w:spacing w:before="0" w:beforeAutospacing="0" w:after="0" w:afterAutospacing="0"/>
        <w:ind w:firstLine="640" w:firstLineChars="200"/>
        <w:outlineLvl w:val="9"/>
        <w:rPr>
          <w:rFonts w:hint="eastAsia" w:ascii="仿宋_GB2312" w:hAnsi="华文仿宋" w:eastAsia="仿宋_GB2312" w:cs="Times New Roman"/>
          <w:kern w:val="2"/>
          <w:sz w:val="32"/>
          <w:szCs w:val="32"/>
          <w:lang w:val="en-US" w:eastAsia="zh-CN" w:bidi="ar-SA"/>
        </w:rPr>
      </w:pPr>
      <w:r>
        <w:rPr>
          <w:rFonts w:hint="eastAsia" w:ascii="仿宋_GB2312" w:hAnsi="华文仿宋" w:eastAsia="仿宋_GB2312" w:cs="Times New Roman"/>
          <w:kern w:val="2"/>
          <w:sz w:val="32"/>
          <w:szCs w:val="32"/>
          <w:lang w:val="en-US" w:eastAsia="zh-CN" w:bidi="ar-SA"/>
        </w:rPr>
        <w:t>2.</w:t>
      </w:r>
      <w:r>
        <w:rPr>
          <w:rFonts w:hint="eastAsia" w:ascii="仿宋_GB2312" w:hAnsi="华文仿宋" w:eastAsia="仿宋_GB2312"/>
          <w:sz w:val="32"/>
          <w:szCs w:val="32"/>
          <w:lang w:eastAsia="zh-CN"/>
        </w:rPr>
        <w:t>项目支出预算</w:t>
      </w:r>
      <w:r>
        <w:rPr>
          <w:rFonts w:hint="eastAsia" w:ascii="仿宋_GB2312" w:hAnsi="仿宋_GB2312" w:eastAsia="仿宋_GB2312"/>
          <w:color w:val="000000"/>
          <w:sz w:val="32"/>
          <w:lang w:val="en-US"/>
        </w:rPr>
        <w:t>77.89</w:t>
      </w:r>
      <w:r>
        <w:rPr>
          <w:rFonts w:hint="eastAsia" w:ascii="仿宋_GB2312" w:hAnsi="华文仿宋" w:eastAsia="仿宋_GB2312"/>
          <w:sz w:val="32"/>
          <w:szCs w:val="32"/>
          <w:lang w:val="en-US" w:eastAsia="zh-CN"/>
        </w:rPr>
        <w:t>万元，占支出总预算的</w:t>
      </w:r>
      <w:r>
        <w:rPr>
          <w:rFonts w:hint="eastAsia" w:ascii="仿宋_GB2312" w:hAnsi="仿宋_GB2312" w:eastAsia="仿宋_GB2312"/>
          <w:sz w:val="32"/>
        </w:rPr>
        <w:t>2</w:t>
      </w:r>
      <w:r>
        <w:rPr>
          <w:rFonts w:hint="eastAsia" w:ascii="仿宋_GB2312" w:hAnsi="仿宋_GB2312" w:eastAsia="仿宋_GB2312"/>
          <w:sz w:val="32"/>
          <w:lang w:val="en-US" w:eastAsia="zh-CN"/>
        </w:rPr>
        <w:t>3</w:t>
      </w:r>
      <w:r>
        <w:rPr>
          <w:rFonts w:hint="eastAsia" w:ascii="仿宋_GB2312" w:hAnsi="华文仿宋" w:eastAsia="仿宋_GB2312"/>
          <w:sz w:val="32"/>
          <w:szCs w:val="32"/>
          <w:lang w:val="en-US" w:eastAsia="zh-CN"/>
        </w:rPr>
        <w:t>%,</w:t>
      </w:r>
      <w:r>
        <w:rPr>
          <w:rFonts w:hint="eastAsia" w:ascii="仿宋_GB2312" w:hAnsi="华文仿宋" w:eastAsia="仿宋_GB2312"/>
          <w:sz w:val="32"/>
          <w:szCs w:val="32"/>
        </w:rPr>
        <w:t>同比减少</w:t>
      </w:r>
      <w:r>
        <w:rPr>
          <w:rFonts w:hint="eastAsia" w:ascii="仿宋_GB2312" w:hAnsi="仿宋_GB2312" w:eastAsia="仿宋_GB2312"/>
          <w:sz w:val="32"/>
        </w:rPr>
        <w:t>11</w:t>
      </w:r>
      <w:r>
        <w:rPr>
          <w:rFonts w:hint="eastAsia" w:ascii="仿宋_GB2312" w:hAnsi="华文仿宋" w:eastAsia="仿宋_GB2312"/>
          <w:sz w:val="32"/>
          <w:szCs w:val="32"/>
        </w:rPr>
        <w:t>万元，同比下降</w:t>
      </w:r>
      <w:r>
        <w:rPr>
          <w:rFonts w:hint="eastAsia" w:ascii="仿宋_GB2312" w:hAnsi="仿宋_GB2312" w:eastAsia="仿宋_GB2312"/>
          <w:sz w:val="32"/>
        </w:rPr>
        <w:t>12.</w:t>
      </w:r>
      <w:r>
        <w:rPr>
          <w:rFonts w:hint="eastAsia" w:ascii="仿宋_GB2312" w:hAnsi="仿宋_GB2312" w:eastAsia="仿宋_GB2312"/>
          <w:sz w:val="32"/>
          <w:lang w:val="en-US" w:eastAsia="zh-CN"/>
        </w:rPr>
        <w:t>4</w:t>
      </w:r>
      <w:r>
        <w:rPr>
          <w:rFonts w:hint="eastAsia" w:ascii="仿宋_GB2312" w:hAnsi="华文仿宋" w:eastAsia="仿宋_GB2312"/>
          <w:sz w:val="32"/>
          <w:szCs w:val="32"/>
        </w:rPr>
        <w:t>%</w:t>
      </w:r>
      <w:r>
        <w:rPr>
          <w:rFonts w:hint="eastAsia" w:ascii="仿宋_GB2312" w:hAnsi="华文仿宋" w:eastAsia="仿宋_GB2312" w:cs="Times New Roman"/>
          <w:kern w:val="2"/>
          <w:sz w:val="32"/>
          <w:szCs w:val="32"/>
          <w:lang w:val="en-US" w:eastAsia="zh-CN" w:bidi="ar-SA"/>
        </w:rPr>
        <w:t>。</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default" w:ascii="仿宋_GB2312" w:hAnsi="华文仿宋" w:eastAsia="仿宋_GB2312"/>
          <w:sz w:val="32"/>
          <w:szCs w:val="32"/>
          <w:lang w:val="en-US" w:eastAsia="zh-CN"/>
        </w:rPr>
      </w:pPr>
      <w:r>
        <w:rPr>
          <w:rFonts w:hint="eastAsia" w:ascii="仿宋_GB2312" w:hAnsi="华文仿宋" w:eastAsia="仿宋_GB2312"/>
          <w:sz w:val="32"/>
          <w:szCs w:val="32"/>
          <w:lang w:val="en-US" w:eastAsia="zh-CN"/>
        </w:rPr>
        <w:t>2021年支出预算总体减少主要是培训费减少，减少主要原因：由于培训费未得到人社局相关批复，暂时无法在预算中公开，待得到人社局批复后，将在决算中根据实际批复情况予以公开。</w:t>
      </w:r>
    </w:p>
    <w:p>
      <w:pPr>
        <w:keepNext w:val="0"/>
        <w:keepLines w:val="0"/>
        <w:pageBreakBefore w:val="0"/>
        <w:tabs>
          <w:tab w:val="center" w:pos="4475"/>
        </w:tabs>
        <w:kinsoku/>
        <w:wordWrap/>
        <w:overflowPunct/>
        <w:topLinePunct w:val="0"/>
        <w:autoSpaceDE/>
        <w:autoSpaceDN/>
        <w:bidi w:val="0"/>
        <w:spacing w:line="560" w:lineRule="exact"/>
        <w:ind w:firstLine="643" w:firstLineChars="200"/>
        <w:jc w:val="both"/>
        <w:textAlignment w:val="auto"/>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四、财政拨款收支预算情况说明</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黑体" w:hAnsi="黑体" w:eastAsia="黑体" w:cs="黑体"/>
          <w:b/>
          <w:bCs/>
          <w:color w:val="000000"/>
          <w:kern w:val="0"/>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2021年单位财政拨款收支总预算</w:t>
      </w:r>
      <w:r>
        <w:rPr>
          <w:rFonts w:hint="eastAsia" w:ascii="仿宋_GB2312" w:hAnsi="华文仿宋" w:eastAsia="仿宋_GB2312"/>
          <w:color w:val="000000"/>
          <w:sz w:val="32"/>
          <w:szCs w:val="32"/>
          <w:lang w:val="en-US" w:eastAsia="zh-CN"/>
        </w:rPr>
        <w:t>339.17</w:t>
      </w:r>
      <w:r>
        <w:rPr>
          <w:rFonts w:hint="eastAsia" w:ascii="仿宋_GB2312" w:hAnsi="华文仿宋" w:eastAsia="仿宋_GB2312" w:cs="Times New Roman"/>
          <w:b w:val="0"/>
          <w:bCs w:val="0"/>
          <w:color w:val="auto"/>
          <w:kern w:val="2"/>
          <w:sz w:val="32"/>
          <w:szCs w:val="32"/>
          <w:lang w:val="en-US" w:eastAsia="zh-CN" w:bidi="ar-SA"/>
        </w:rPr>
        <w:t>万元， 收入包括：</w:t>
      </w:r>
      <w:r>
        <w:rPr>
          <w:rFonts w:hint="eastAsia" w:ascii="仿宋_GB2312" w:hAnsi="华文仿宋" w:eastAsia="仿宋_GB2312"/>
          <w:color w:val="000000"/>
          <w:sz w:val="32"/>
          <w:szCs w:val="32"/>
        </w:rPr>
        <w:t>一般公共</w:t>
      </w:r>
      <w:r>
        <w:rPr>
          <w:rFonts w:hint="eastAsia" w:ascii="仿宋_GB2312" w:hAnsi="华文仿宋" w:eastAsia="仿宋_GB2312"/>
          <w:strike w:val="0"/>
          <w:color w:val="000000"/>
          <w:sz w:val="32"/>
          <w:szCs w:val="32"/>
          <w:lang w:eastAsia="zh-CN"/>
        </w:rPr>
        <w:t>财政预算拨款</w:t>
      </w:r>
      <w:r>
        <w:rPr>
          <w:rFonts w:hint="eastAsia" w:ascii="仿宋_GB2312" w:hAnsi="华文仿宋" w:eastAsia="仿宋_GB2312"/>
          <w:color w:val="000000"/>
          <w:sz w:val="32"/>
          <w:szCs w:val="32"/>
          <w:lang w:val="en-US" w:eastAsia="zh-CN"/>
        </w:rPr>
        <w:t>339.17</w:t>
      </w:r>
      <w:r>
        <w:rPr>
          <w:rFonts w:hint="eastAsia" w:ascii="仿宋_GB2312" w:hAnsi="华文仿宋" w:eastAsia="仿宋_GB2312"/>
          <w:color w:val="000000"/>
          <w:sz w:val="32"/>
          <w:szCs w:val="32"/>
        </w:rPr>
        <w:t>万元</w:t>
      </w:r>
      <w:r>
        <w:rPr>
          <w:rFonts w:hint="eastAsia" w:ascii="仿宋_GB2312" w:hAnsi="华文仿宋" w:eastAsia="仿宋_GB2312"/>
          <w:color w:val="000000"/>
          <w:sz w:val="32"/>
          <w:szCs w:val="32"/>
          <w:lang w:eastAsia="zh-CN"/>
        </w:rPr>
        <w:t>，</w:t>
      </w:r>
      <w:r>
        <w:rPr>
          <w:rFonts w:hint="eastAsia" w:ascii="仿宋_GB2312" w:hAnsi="华文仿宋" w:eastAsia="仿宋_GB2312"/>
          <w:color w:val="000000"/>
          <w:sz w:val="32"/>
          <w:szCs w:val="32"/>
          <w:lang w:val="en-US" w:eastAsia="zh-CN"/>
        </w:rPr>
        <w:t>其中，</w:t>
      </w:r>
      <w:r>
        <w:rPr>
          <w:rFonts w:ascii="仿宋_GB2312" w:hAnsi="仿宋_GB2312" w:eastAsia="仿宋_GB2312"/>
          <w:sz w:val="32"/>
        </w:rPr>
        <w:t>经费拨款（补助）</w:t>
      </w:r>
      <w:r>
        <w:rPr>
          <w:rFonts w:hint="eastAsia" w:ascii="仿宋_GB2312" w:hAnsi="仿宋_GB2312" w:eastAsia="仿宋_GB2312"/>
          <w:color w:val="000000"/>
          <w:sz w:val="32"/>
          <w:lang w:val="en-US"/>
        </w:rPr>
        <w:t>316.17</w:t>
      </w:r>
      <w:r>
        <w:rPr>
          <w:rFonts w:ascii="仿宋_GB2312" w:hAnsi="仿宋_GB2312" w:eastAsia="仿宋_GB2312"/>
          <w:sz w:val="32"/>
        </w:rPr>
        <w:t>万元</w:t>
      </w:r>
      <w:r>
        <w:rPr>
          <w:rFonts w:hint="eastAsia" w:ascii="仿宋_GB2312" w:hAnsi="仿宋_GB2312" w:eastAsia="仿宋_GB2312"/>
          <w:sz w:val="32"/>
          <w:lang w:eastAsia="zh-CN"/>
        </w:rPr>
        <w:t>，纳入一般公共预算管理的非税收入</w:t>
      </w:r>
      <w:r>
        <w:rPr>
          <w:rFonts w:hint="eastAsia" w:ascii="仿宋_GB2312" w:hAnsi="仿宋_GB2312" w:eastAsia="仿宋_GB2312"/>
          <w:sz w:val="32"/>
          <w:lang w:val="en-US" w:eastAsia="zh-CN"/>
        </w:rPr>
        <w:t>23万元</w:t>
      </w:r>
      <w:r>
        <w:rPr>
          <w:rFonts w:hint="eastAsia" w:ascii="仿宋_GB2312" w:hAnsi="华文仿宋" w:eastAsia="仿宋_GB2312" w:cs="Times New Roman"/>
          <w:b w:val="0"/>
          <w:bCs w:val="0"/>
          <w:color w:val="auto"/>
          <w:kern w:val="2"/>
          <w:sz w:val="32"/>
          <w:szCs w:val="32"/>
          <w:lang w:val="en-US" w:eastAsia="zh-CN" w:bidi="ar-SA"/>
        </w:rPr>
        <w:t>;支出包括：社会保障和就业支出48.11万元，卫生健康支出17.92万元，住房保障支出19.47万元，粮油物资储备支出253.66万元。</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3" w:firstLineChars="200"/>
        <w:jc w:val="both"/>
        <w:textAlignment w:val="auto"/>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五、一般公共预算支出情况说明</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2021年单位一般公共预算拨款支出339.17万元，其中：基本支出261.28万元，项目支出77.89万元，具体支出预算如下：</w:t>
      </w:r>
    </w:p>
    <w:p>
      <w:pPr>
        <w:pStyle w:val="3"/>
        <w:spacing w:before="0" w:beforeAutospacing="0" w:after="0" w:afterAutospacing="0" w:line="560" w:lineRule="exact"/>
        <w:ind w:firstLine="640" w:firstLineChars="200"/>
        <w:rPr>
          <w:rFonts w:hint="eastAsia"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（一）行政单位离退休9.17万元，</w:t>
      </w:r>
      <w:r>
        <w:rPr>
          <w:rFonts w:hint="eastAsia" w:ascii="仿宋_GB2312" w:hAnsi="华文仿宋" w:eastAsia="仿宋_GB2312" w:cs="Times New Roman"/>
          <w:b w:val="0"/>
          <w:bCs w:val="0"/>
          <w:strike w:val="0"/>
          <w:color w:val="auto"/>
          <w:kern w:val="2"/>
          <w:sz w:val="32"/>
          <w:szCs w:val="32"/>
          <w:u w:val="none"/>
          <w:lang w:val="en-US" w:eastAsia="zh-CN" w:bidi="ar-SA"/>
        </w:rPr>
        <w:t>全部为基本支出。</w:t>
      </w:r>
      <w:r>
        <w:rPr>
          <w:rFonts w:hint="eastAsia" w:ascii="仿宋_GB2312" w:hAnsi="华文仿宋" w:eastAsia="仿宋_GB2312" w:cs="Times New Roman"/>
          <w:b w:val="0"/>
          <w:bCs w:val="0"/>
          <w:color w:val="auto"/>
          <w:kern w:val="2"/>
          <w:sz w:val="32"/>
          <w:szCs w:val="32"/>
          <w:lang w:val="en-US" w:eastAsia="zh-CN" w:bidi="ar-SA"/>
        </w:rPr>
        <w:t>主要用于单位退休职工福利支出</w:t>
      </w:r>
      <w:r>
        <w:rPr>
          <w:rFonts w:hint="eastAsia" w:ascii="仿宋_GB2312" w:hAnsi="华文仿宋" w:eastAsia="仿宋_GB2312"/>
          <w:color w:val="auto"/>
          <w:sz w:val="32"/>
          <w:szCs w:val="32"/>
          <w:lang w:eastAsia="zh-CN"/>
        </w:rPr>
        <w:t>。</w:t>
      </w:r>
    </w:p>
    <w:p>
      <w:pPr>
        <w:pStyle w:val="3"/>
        <w:spacing w:before="0" w:beforeAutospacing="0" w:after="0" w:afterAutospacing="0" w:line="560" w:lineRule="exact"/>
        <w:ind w:firstLine="640" w:firstLineChars="200"/>
        <w:rPr>
          <w:rFonts w:hint="eastAsia"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（二）机关事业单位基本养老保险缴费支出25.96万元，</w:t>
      </w:r>
      <w:r>
        <w:rPr>
          <w:rFonts w:hint="eastAsia" w:ascii="仿宋_GB2312" w:hAnsi="华文仿宋" w:eastAsia="仿宋_GB2312" w:cs="Times New Roman"/>
          <w:b w:val="0"/>
          <w:bCs w:val="0"/>
          <w:strike w:val="0"/>
          <w:color w:val="auto"/>
          <w:kern w:val="2"/>
          <w:sz w:val="32"/>
          <w:szCs w:val="32"/>
          <w:u w:val="none"/>
          <w:lang w:val="en-US" w:eastAsia="zh-CN" w:bidi="ar-SA"/>
        </w:rPr>
        <w:t>全部为基本支出。</w:t>
      </w:r>
      <w:r>
        <w:rPr>
          <w:rFonts w:hint="eastAsia" w:ascii="仿宋_GB2312" w:hAnsi="华文仿宋" w:eastAsia="仿宋_GB2312" w:cs="Times New Roman"/>
          <w:b w:val="0"/>
          <w:bCs w:val="0"/>
          <w:color w:val="auto"/>
          <w:kern w:val="2"/>
          <w:sz w:val="32"/>
          <w:szCs w:val="32"/>
          <w:lang w:val="en-US" w:eastAsia="zh-CN" w:bidi="ar-SA"/>
        </w:rPr>
        <w:t>主要用于</w:t>
      </w:r>
      <w:r>
        <w:rPr>
          <w:rFonts w:hint="eastAsia" w:ascii="仿宋_GB2312" w:hAnsi="华文仿宋" w:eastAsia="仿宋_GB2312"/>
          <w:color w:val="auto"/>
          <w:sz w:val="32"/>
          <w:szCs w:val="32"/>
          <w:lang w:val="en-US" w:eastAsia="zh-CN"/>
        </w:rPr>
        <w:t>单位职工养老保险缴费</w:t>
      </w:r>
      <w:r>
        <w:rPr>
          <w:rFonts w:hint="eastAsia" w:ascii="仿宋_GB2312" w:hAnsi="华文仿宋" w:eastAsia="仿宋_GB2312"/>
          <w:color w:val="auto"/>
          <w:sz w:val="32"/>
          <w:szCs w:val="32"/>
          <w:lang w:eastAsia="zh-CN"/>
        </w:rPr>
        <w:t>。</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rPr>
          <w:rFonts w:hint="default"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（三）机关事业单位职业年金缴费支出12.98万元，</w:t>
      </w:r>
      <w:r>
        <w:rPr>
          <w:rFonts w:hint="eastAsia" w:ascii="仿宋_GB2312" w:hAnsi="华文仿宋" w:eastAsia="仿宋_GB2312" w:cs="Times New Roman"/>
          <w:b w:val="0"/>
          <w:bCs w:val="0"/>
          <w:strike w:val="0"/>
          <w:color w:val="auto"/>
          <w:kern w:val="2"/>
          <w:sz w:val="32"/>
          <w:szCs w:val="32"/>
          <w:u w:val="none"/>
          <w:lang w:val="en-US" w:eastAsia="zh-CN" w:bidi="ar-SA"/>
        </w:rPr>
        <w:t>全部为基本支出。</w:t>
      </w:r>
      <w:r>
        <w:rPr>
          <w:rFonts w:hint="eastAsia" w:ascii="仿宋_GB2312" w:hAnsi="华文仿宋" w:eastAsia="仿宋_GB2312" w:cs="Times New Roman"/>
          <w:b w:val="0"/>
          <w:bCs w:val="0"/>
          <w:color w:val="auto"/>
          <w:kern w:val="2"/>
          <w:sz w:val="32"/>
          <w:szCs w:val="32"/>
          <w:lang w:val="en-US" w:eastAsia="zh-CN" w:bidi="ar-SA"/>
        </w:rPr>
        <w:t>主要用于</w:t>
      </w:r>
      <w:r>
        <w:rPr>
          <w:rFonts w:hint="eastAsia" w:ascii="仿宋_GB2312" w:hAnsi="华文仿宋" w:eastAsia="仿宋_GB2312"/>
          <w:color w:val="auto"/>
          <w:sz w:val="32"/>
          <w:szCs w:val="32"/>
          <w:lang w:val="en-US" w:eastAsia="zh-CN"/>
        </w:rPr>
        <w:t>单位职工</w:t>
      </w:r>
      <w:r>
        <w:rPr>
          <w:rFonts w:hint="eastAsia" w:ascii="仿宋_GB2312" w:hAnsi="华文仿宋" w:eastAsia="仿宋_GB2312" w:cs="Times New Roman"/>
          <w:b w:val="0"/>
          <w:bCs w:val="0"/>
          <w:color w:val="auto"/>
          <w:kern w:val="2"/>
          <w:sz w:val="32"/>
          <w:szCs w:val="32"/>
          <w:lang w:val="en-US" w:eastAsia="zh-CN" w:bidi="ar-SA"/>
        </w:rPr>
        <w:t>职业年金缴费</w:t>
      </w:r>
      <w:r>
        <w:rPr>
          <w:rFonts w:hint="eastAsia" w:ascii="仿宋_GB2312" w:hAnsi="华文仿宋" w:eastAsia="仿宋_GB2312"/>
          <w:color w:val="auto"/>
          <w:sz w:val="32"/>
          <w:szCs w:val="32"/>
          <w:lang w:eastAsia="zh-CN"/>
        </w:rPr>
        <w:t>。</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rPr>
          <w:rFonts w:hint="default"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（四）行政单位医疗12.66万元，</w:t>
      </w:r>
      <w:r>
        <w:rPr>
          <w:rFonts w:hint="eastAsia" w:ascii="仿宋_GB2312" w:hAnsi="华文仿宋" w:eastAsia="仿宋_GB2312" w:cs="Times New Roman"/>
          <w:b w:val="0"/>
          <w:bCs w:val="0"/>
          <w:strike w:val="0"/>
          <w:color w:val="auto"/>
          <w:kern w:val="2"/>
          <w:sz w:val="32"/>
          <w:szCs w:val="32"/>
          <w:u w:val="none"/>
          <w:lang w:val="en-US" w:eastAsia="zh-CN" w:bidi="ar-SA"/>
        </w:rPr>
        <w:t>全部为基本支出。</w:t>
      </w:r>
      <w:r>
        <w:rPr>
          <w:rFonts w:hint="eastAsia" w:ascii="仿宋_GB2312" w:hAnsi="华文仿宋" w:eastAsia="仿宋_GB2312" w:cs="Times New Roman"/>
          <w:b w:val="0"/>
          <w:bCs w:val="0"/>
          <w:color w:val="auto"/>
          <w:kern w:val="2"/>
          <w:sz w:val="32"/>
          <w:szCs w:val="32"/>
          <w:lang w:val="en-US" w:eastAsia="zh-CN" w:bidi="ar-SA"/>
        </w:rPr>
        <w:t>主要用于</w:t>
      </w:r>
      <w:r>
        <w:rPr>
          <w:rFonts w:hint="eastAsia" w:ascii="仿宋_GB2312" w:hAnsi="华文仿宋" w:eastAsia="仿宋_GB2312"/>
          <w:color w:val="auto"/>
          <w:sz w:val="32"/>
          <w:szCs w:val="32"/>
          <w:lang w:val="en-US" w:eastAsia="zh-CN"/>
        </w:rPr>
        <w:t>单位职工医疗保险缴费</w:t>
      </w:r>
      <w:r>
        <w:rPr>
          <w:rFonts w:hint="eastAsia" w:ascii="仿宋_GB2312" w:hAnsi="华文仿宋" w:eastAsia="仿宋_GB2312"/>
          <w:color w:val="auto"/>
          <w:sz w:val="32"/>
          <w:szCs w:val="32"/>
          <w:lang w:eastAsia="zh-CN"/>
        </w:rPr>
        <w:t>。</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rPr>
          <w:rFonts w:hint="default"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（五）公务员医疗补助5.26万元，</w:t>
      </w:r>
      <w:r>
        <w:rPr>
          <w:rFonts w:hint="eastAsia" w:ascii="仿宋_GB2312" w:hAnsi="华文仿宋" w:eastAsia="仿宋_GB2312" w:cs="Times New Roman"/>
          <w:b w:val="0"/>
          <w:bCs w:val="0"/>
          <w:strike w:val="0"/>
          <w:color w:val="auto"/>
          <w:kern w:val="2"/>
          <w:sz w:val="32"/>
          <w:szCs w:val="32"/>
          <w:u w:val="none"/>
          <w:lang w:val="en-US" w:eastAsia="zh-CN" w:bidi="ar-SA"/>
        </w:rPr>
        <w:t>全部为基本支出。</w:t>
      </w:r>
      <w:r>
        <w:rPr>
          <w:rFonts w:hint="eastAsia" w:ascii="仿宋_GB2312" w:hAnsi="华文仿宋" w:eastAsia="仿宋_GB2312" w:cs="Times New Roman"/>
          <w:b w:val="0"/>
          <w:bCs w:val="0"/>
          <w:color w:val="auto"/>
          <w:kern w:val="2"/>
          <w:sz w:val="32"/>
          <w:szCs w:val="32"/>
          <w:lang w:val="en-US" w:eastAsia="zh-CN" w:bidi="ar-SA"/>
        </w:rPr>
        <w:t>主要用于</w:t>
      </w:r>
      <w:r>
        <w:rPr>
          <w:rFonts w:hint="eastAsia" w:ascii="仿宋_GB2312" w:hAnsi="华文仿宋" w:eastAsia="仿宋_GB2312"/>
          <w:color w:val="auto"/>
          <w:sz w:val="32"/>
          <w:szCs w:val="32"/>
          <w:lang w:val="en-US" w:eastAsia="zh-CN"/>
        </w:rPr>
        <w:t>单位职工医疗补助缴费</w:t>
      </w:r>
      <w:r>
        <w:rPr>
          <w:rFonts w:hint="eastAsia" w:ascii="仿宋_GB2312" w:hAnsi="华文仿宋" w:eastAsia="仿宋_GB2312"/>
          <w:color w:val="auto"/>
          <w:sz w:val="32"/>
          <w:szCs w:val="32"/>
          <w:lang w:eastAsia="zh-CN"/>
        </w:rPr>
        <w:t>。</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rPr>
          <w:rFonts w:hint="default"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（六）住房公积金19.47万元，</w:t>
      </w:r>
      <w:r>
        <w:rPr>
          <w:rFonts w:hint="eastAsia" w:ascii="仿宋_GB2312" w:hAnsi="华文仿宋" w:eastAsia="仿宋_GB2312" w:cs="Times New Roman"/>
          <w:b w:val="0"/>
          <w:bCs w:val="0"/>
          <w:strike w:val="0"/>
          <w:color w:val="auto"/>
          <w:kern w:val="2"/>
          <w:sz w:val="32"/>
          <w:szCs w:val="32"/>
          <w:u w:val="none"/>
          <w:lang w:val="en-US" w:eastAsia="zh-CN" w:bidi="ar-SA"/>
        </w:rPr>
        <w:t>全部为基本支出。</w:t>
      </w:r>
      <w:r>
        <w:rPr>
          <w:rFonts w:hint="eastAsia" w:ascii="仿宋_GB2312" w:hAnsi="华文仿宋" w:eastAsia="仿宋_GB2312" w:cs="Times New Roman"/>
          <w:b w:val="0"/>
          <w:bCs w:val="0"/>
          <w:color w:val="auto"/>
          <w:kern w:val="2"/>
          <w:sz w:val="32"/>
          <w:szCs w:val="32"/>
          <w:lang w:val="en-US" w:eastAsia="zh-CN" w:bidi="ar-SA"/>
        </w:rPr>
        <w:t>主要用于</w:t>
      </w:r>
      <w:r>
        <w:rPr>
          <w:rFonts w:hint="eastAsia" w:ascii="仿宋_GB2312" w:hAnsi="华文仿宋" w:eastAsia="仿宋_GB2312"/>
          <w:color w:val="auto"/>
          <w:sz w:val="32"/>
          <w:szCs w:val="32"/>
          <w:lang w:val="en-US" w:eastAsia="zh-CN"/>
        </w:rPr>
        <w:t>单位职工住房公积金缴费</w:t>
      </w:r>
      <w:r>
        <w:rPr>
          <w:rFonts w:hint="eastAsia" w:ascii="仿宋_GB2312" w:hAnsi="华文仿宋" w:eastAsia="仿宋_GB2312"/>
          <w:color w:val="auto"/>
          <w:sz w:val="32"/>
          <w:szCs w:val="32"/>
          <w:lang w:eastAsia="zh-CN"/>
        </w:rPr>
        <w:t>。</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rPr>
          <w:rFonts w:hint="default"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（七）行政运行（粮油事务）175.77万元，</w:t>
      </w:r>
      <w:r>
        <w:rPr>
          <w:rFonts w:hint="eastAsia" w:ascii="仿宋_GB2312" w:hAnsi="华文仿宋" w:eastAsia="仿宋_GB2312" w:cs="Times New Roman"/>
          <w:b w:val="0"/>
          <w:bCs w:val="0"/>
          <w:strike w:val="0"/>
          <w:color w:val="auto"/>
          <w:kern w:val="2"/>
          <w:sz w:val="32"/>
          <w:szCs w:val="32"/>
          <w:u w:val="none"/>
          <w:lang w:val="en-US" w:eastAsia="zh-CN" w:bidi="ar-SA"/>
        </w:rPr>
        <w:t>全部为基本支出。</w:t>
      </w:r>
      <w:r>
        <w:rPr>
          <w:rFonts w:hint="eastAsia" w:ascii="仿宋_GB2312" w:hAnsi="华文仿宋" w:eastAsia="仿宋_GB2312" w:cs="Times New Roman"/>
          <w:b w:val="0"/>
          <w:bCs w:val="0"/>
          <w:color w:val="auto"/>
          <w:kern w:val="2"/>
          <w:sz w:val="32"/>
          <w:szCs w:val="32"/>
          <w:lang w:val="en-US" w:eastAsia="zh-CN" w:bidi="ar-SA"/>
        </w:rPr>
        <w:t>主要用于</w:t>
      </w:r>
      <w:r>
        <w:rPr>
          <w:rFonts w:hint="eastAsia" w:ascii="仿宋_GB2312" w:hAnsi="华文仿宋" w:eastAsia="仿宋_GB2312"/>
          <w:color w:val="auto"/>
          <w:sz w:val="32"/>
          <w:szCs w:val="32"/>
          <w:lang w:val="en-US" w:eastAsia="zh-CN"/>
        </w:rPr>
        <w:t>单位职工工资福利及日常公用经费支出</w:t>
      </w:r>
      <w:r>
        <w:rPr>
          <w:rFonts w:hint="eastAsia" w:ascii="仿宋_GB2312" w:hAnsi="华文仿宋" w:eastAsia="仿宋_GB2312"/>
          <w:color w:val="auto"/>
          <w:sz w:val="32"/>
          <w:szCs w:val="32"/>
          <w:lang w:eastAsia="zh-CN"/>
        </w:rPr>
        <w:t>。</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rPr>
          <w:rFonts w:hint="default"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（八）专项业务活动54.89万元，</w:t>
      </w:r>
      <w:r>
        <w:rPr>
          <w:rFonts w:hint="eastAsia" w:ascii="仿宋_GB2312" w:hAnsi="华文仿宋" w:eastAsia="仿宋_GB2312" w:cs="Times New Roman"/>
          <w:b w:val="0"/>
          <w:bCs w:val="0"/>
          <w:strike w:val="0"/>
          <w:color w:val="auto"/>
          <w:kern w:val="2"/>
          <w:sz w:val="32"/>
          <w:szCs w:val="32"/>
          <w:u w:val="none"/>
          <w:lang w:val="en-US" w:eastAsia="zh-CN" w:bidi="ar-SA"/>
        </w:rPr>
        <w:t>全部为项目支出。</w:t>
      </w:r>
      <w:r>
        <w:rPr>
          <w:rFonts w:hint="eastAsia" w:ascii="仿宋_GB2312" w:hAnsi="华文仿宋" w:eastAsia="仿宋_GB2312" w:cs="Times New Roman"/>
          <w:b w:val="0"/>
          <w:bCs w:val="0"/>
          <w:color w:val="auto"/>
          <w:kern w:val="2"/>
          <w:sz w:val="32"/>
          <w:szCs w:val="32"/>
          <w:lang w:val="en-US" w:eastAsia="zh-CN" w:bidi="ar-SA"/>
        </w:rPr>
        <w:t>主要用于</w:t>
      </w:r>
      <w:r>
        <w:rPr>
          <w:rFonts w:hint="eastAsia" w:ascii="仿宋_GB2312" w:hAnsi="华文仿宋" w:eastAsia="仿宋_GB2312"/>
          <w:color w:val="auto"/>
          <w:sz w:val="32"/>
          <w:szCs w:val="32"/>
          <w:lang w:val="en-US" w:eastAsia="zh-CN"/>
        </w:rPr>
        <w:t>储备粮管理业务及军粮供应管理业务支出</w:t>
      </w:r>
      <w:r>
        <w:rPr>
          <w:rFonts w:hint="eastAsia" w:ascii="仿宋_GB2312" w:hAnsi="华文仿宋" w:eastAsia="仿宋_GB2312"/>
          <w:color w:val="auto"/>
          <w:sz w:val="32"/>
          <w:szCs w:val="32"/>
          <w:lang w:eastAsia="zh-CN"/>
        </w:rPr>
        <w:t>。</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rPr>
          <w:rFonts w:hint="eastAsia"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（九）其他粮油物资事务支出23万元，</w:t>
      </w:r>
      <w:r>
        <w:rPr>
          <w:rFonts w:hint="eastAsia" w:ascii="仿宋_GB2312" w:hAnsi="华文仿宋" w:eastAsia="仿宋_GB2312" w:cs="Times New Roman"/>
          <w:b w:val="0"/>
          <w:bCs w:val="0"/>
          <w:strike w:val="0"/>
          <w:color w:val="auto"/>
          <w:kern w:val="2"/>
          <w:sz w:val="32"/>
          <w:szCs w:val="32"/>
          <w:u w:val="none"/>
          <w:lang w:val="en-US" w:eastAsia="zh-CN" w:bidi="ar-SA"/>
        </w:rPr>
        <w:t>全部为项目支出。</w:t>
      </w:r>
      <w:r>
        <w:rPr>
          <w:rFonts w:hint="eastAsia" w:ascii="仿宋_GB2312" w:hAnsi="华文仿宋" w:eastAsia="仿宋_GB2312" w:cs="Times New Roman"/>
          <w:b w:val="0"/>
          <w:bCs w:val="0"/>
          <w:color w:val="auto"/>
          <w:kern w:val="2"/>
          <w:sz w:val="32"/>
          <w:szCs w:val="32"/>
          <w:lang w:val="en-US" w:eastAsia="zh-CN" w:bidi="ar-SA"/>
        </w:rPr>
        <w:t>主要用于</w:t>
      </w:r>
      <w:r>
        <w:rPr>
          <w:rFonts w:hint="eastAsia" w:ascii="仿宋_GB2312" w:hAnsi="宋体" w:eastAsia="仿宋_GB2312"/>
          <w:sz w:val="32"/>
          <w:szCs w:val="32"/>
        </w:rPr>
        <w:t>中心北站办公楼、映山红大厦、西环门面资产维护管理费用</w:t>
      </w:r>
      <w:r>
        <w:rPr>
          <w:rFonts w:hint="eastAsia" w:ascii="仿宋_GB2312" w:hAnsi="宋体" w:eastAsia="仿宋_GB2312"/>
          <w:sz w:val="32"/>
          <w:szCs w:val="32"/>
          <w:lang w:eastAsia="zh-CN"/>
        </w:rPr>
        <w:t>及弥补经费不足</w:t>
      </w:r>
      <w:r>
        <w:rPr>
          <w:rFonts w:hint="eastAsia" w:ascii="仿宋_GB2312" w:hAnsi="华文仿宋" w:eastAsia="仿宋_GB2312"/>
          <w:color w:val="auto"/>
          <w:sz w:val="32"/>
          <w:szCs w:val="32"/>
          <w:lang w:eastAsia="zh-CN"/>
        </w:rPr>
        <w:t>。</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六、一般公共预算基本支出情况说明</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2021年单位一般公共预算基本支出216.28万元，其中：</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华文仿宋" w:eastAsia="仿宋_GB2312"/>
          <w:bCs/>
          <w:strike/>
          <w:color w:val="auto"/>
          <w:sz w:val="32"/>
          <w:szCs w:val="32"/>
          <w:lang w:eastAsia="zh-CN"/>
        </w:rPr>
      </w:pPr>
      <w:r>
        <w:rPr>
          <w:rFonts w:hint="eastAsia" w:ascii="仿宋_GB2312" w:hAnsi="华文仿宋" w:eastAsia="仿宋_GB2312" w:cs="Times New Roman"/>
          <w:b w:val="0"/>
          <w:bCs w:val="0"/>
          <w:color w:val="auto"/>
          <w:kern w:val="2"/>
          <w:sz w:val="32"/>
          <w:szCs w:val="32"/>
          <w:lang w:val="en-US" w:eastAsia="zh-CN" w:bidi="ar-SA"/>
        </w:rPr>
        <w:t>（一）人员经费219.64万元，主要包括：</w:t>
      </w:r>
      <w:r>
        <w:rPr>
          <w:rFonts w:hint="eastAsia" w:ascii="仿宋_GB2312" w:hAnsi="华文仿宋" w:eastAsia="仿宋_GB2312"/>
          <w:sz w:val="32"/>
          <w:szCs w:val="32"/>
        </w:rPr>
        <w:t>基本工资、津贴补贴、奖金、机关事业单位基本养老保险缴费支出、机关事业单位职业年金缴费支出、行政单位医疗、公务员医疗补助、住房公积金、退休费</w:t>
      </w:r>
      <w:r>
        <w:rPr>
          <w:rFonts w:hint="eastAsia" w:ascii="仿宋_GB2312" w:hAnsi="华文仿宋" w:eastAsia="仿宋_GB2312" w:cs="Times New Roman"/>
          <w:b w:val="0"/>
          <w:bCs w:val="0"/>
          <w:color w:val="auto"/>
          <w:kern w:val="2"/>
          <w:sz w:val="32"/>
          <w:szCs w:val="32"/>
          <w:lang w:val="en-US" w:eastAsia="zh-CN" w:bidi="ar-SA"/>
        </w:rPr>
        <w:t>。</w:t>
      </w:r>
    </w:p>
    <w:p>
      <w:pPr>
        <w:keepNext w:val="0"/>
        <w:keepLines w:val="0"/>
        <w:pageBreakBefore w:val="0"/>
        <w:kinsoku/>
        <w:wordWrap/>
        <w:overflowPunct/>
        <w:topLinePunct w:val="0"/>
        <w:autoSpaceDE/>
        <w:autoSpaceDN/>
        <w:bidi w:val="0"/>
        <w:adjustRightInd w:val="0"/>
        <w:snapToGrid w:val="0"/>
        <w:spacing w:beforeAutospacing="0" w:afterAutospacing="0" w:line="560" w:lineRule="exact"/>
        <w:ind w:right="-218" w:rightChars="-104" w:firstLine="640" w:firstLineChars="200"/>
        <w:jc w:val="both"/>
        <w:textAlignment w:val="auto"/>
        <w:outlineLvl w:val="9"/>
        <w:rPr>
          <w:rFonts w:hint="eastAsia" w:ascii="仿宋_GB2312" w:hAnsi="华文仿宋" w:eastAsia="仿宋_GB2312"/>
          <w:b w:val="0"/>
          <w:bCs w:val="0"/>
          <w:strike/>
          <w:color w:val="auto"/>
          <w:sz w:val="32"/>
          <w:szCs w:val="32"/>
          <w:highlight w:val="cyan"/>
          <w:lang w:eastAsia="zh-CN"/>
        </w:rPr>
      </w:pPr>
      <w:r>
        <w:rPr>
          <w:rFonts w:hint="eastAsia" w:ascii="仿宋_GB2312" w:hAnsi="华文仿宋" w:eastAsia="仿宋_GB2312" w:cs="Times New Roman"/>
          <w:b w:val="0"/>
          <w:bCs w:val="0"/>
          <w:color w:val="auto"/>
          <w:kern w:val="2"/>
          <w:sz w:val="32"/>
          <w:szCs w:val="32"/>
          <w:lang w:val="en-US" w:eastAsia="zh-CN" w:bidi="ar-SA"/>
        </w:rPr>
        <w:t>（二）公用经费41.64万元，主要包括：</w:t>
      </w:r>
      <w:r>
        <w:rPr>
          <w:rFonts w:hint="eastAsia" w:ascii="仿宋_GB2312" w:hAnsi="华文仿宋" w:eastAsia="仿宋_GB2312"/>
          <w:sz w:val="32"/>
          <w:szCs w:val="32"/>
        </w:rPr>
        <w:t>办公费、印刷费、水费、电费、邮电费、物业管理费、差旅费、维修(护)费、会议费、培训费、公务接待费、工会经费、其他交通费用、其他商品和服务支出</w:t>
      </w:r>
      <w:r>
        <w:rPr>
          <w:rFonts w:hint="eastAsia" w:ascii="仿宋_GB2312" w:hAnsi="华文仿宋" w:eastAsia="仿宋_GB2312" w:cs="Times New Roman"/>
          <w:b w:val="0"/>
          <w:bCs w:val="0"/>
          <w:color w:val="auto"/>
          <w:kern w:val="2"/>
          <w:sz w:val="32"/>
          <w:szCs w:val="32"/>
          <w:lang w:val="en-US" w:eastAsia="zh-CN" w:bidi="ar-SA"/>
        </w:rPr>
        <w:t>。</w:t>
      </w:r>
    </w:p>
    <w:p>
      <w:pPr>
        <w:keepNext w:val="0"/>
        <w:keepLines w:val="0"/>
        <w:pageBreakBefore w:val="0"/>
        <w:tabs>
          <w:tab w:val="center" w:pos="4475"/>
        </w:tabs>
        <w:kinsoku/>
        <w:wordWrap/>
        <w:overflowPunct/>
        <w:topLinePunct w:val="0"/>
        <w:autoSpaceDE/>
        <w:autoSpaceDN/>
        <w:bidi w:val="0"/>
        <w:adjustRightInd w:val="0"/>
        <w:snapToGrid w:val="0"/>
        <w:spacing w:line="560" w:lineRule="exact"/>
        <w:ind w:right="-218" w:rightChars="-104" w:firstLine="643" w:firstLineChars="200"/>
        <w:jc w:val="both"/>
        <w:textAlignment w:val="auto"/>
        <w:outlineLvl w:val="9"/>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七、一般公共预算“三公”经费情况说明</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outlineLvl w:val="9"/>
        <w:rPr>
          <w:rFonts w:hint="eastAsia" w:ascii="仿宋_GB2312" w:hAnsi="华文仿宋" w:eastAsia="仿宋_GB2312"/>
          <w:bCs/>
          <w:color w:val="000000"/>
          <w:sz w:val="32"/>
          <w:szCs w:val="32"/>
          <w:lang w:eastAsia="zh-CN"/>
        </w:rPr>
      </w:pPr>
      <w:r>
        <w:rPr>
          <w:rFonts w:hint="eastAsia" w:ascii="仿宋_GB2312" w:hAnsi="华文仿宋" w:eastAsia="仿宋_GB2312"/>
          <w:bCs/>
          <w:color w:val="000000"/>
          <w:sz w:val="32"/>
          <w:szCs w:val="32"/>
          <w:lang w:eastAsia="zh-CN"/>
        </w:rPr>
        <w:t>202</w:t>
      </w:r>
      <w:r>
        <w:rPr>
          <w:rFonts w:hint="eastAsia" w:ascii="仿宋_GB2312" w:hAnsi="华文仿宋" w:eastAsia="仿宋_GB2312"/>
          <w:bCs/>
          <w:color w:val="000000"/>
          <w:sz w:val="32"/>
          <w:szCs w:val="32"/>
          <w:lang w:val="en-US" w:eastAsia="zh-CN"/>
        </w:rPr>
        <w:t>1</w:t>
      </w:r>
      <w:r>
        <w:rPr>
          <w:rFonts w:hint="eastAsia" w:ascii="仿宋_GB2312" w:hAnsi="华文仿宋" w:eastAsia="仿宋_GB2312"/>
          <w:bCs/>
          <w:color w:val="000000"/>
          <w:sz w:val="32"/>
          <w:szCs w:val="32"/>
        </w:rPr>
        <w:t>年一般公共预算安排的“三公”经费支出预算</w:t>
      </w:r>
      <w:r>
        <w:rPr>
          <w:rFonts w:hint="eastAsia" w:ascii="仿宋_GB2312" w:hAnsi="华文仿宋" w:eastAsia="仿宋_GB2312"/>
          <w:bCs/>
          <w:color w:val="000000"/>
          <w:sz w:val="32"/>
          <w:szCs w:val="32"/>
          <w:lang w:val="en-US" w:eastAsia="zh-CN"/>
        </w:rPr>
        <w:t>0.56</w:t>
      </w:r>
      <w:r>
        <w:rPr>
          <w:rFonts w:hint="eastAsia" w:ascii="仿宋_GB2312" w:hAnsi="华文仿宋" w:eastAsia="仿宋_GB2312"/>
          <w:bCs/>
          <w:color w:val="000000"/>
          <w:sz w:val="32"/>
          <w:szCs w:val="32"/>
        </w:rPr>
        <w:t>万元，比</w:t>
      </w:r>
      <w:r>
        <w:rPr>
          <w:rFonts w:hint="eastAsia" w:ascii="仿宋_GB2312" w:hAnsi="华文仿宋" w:eastAsia="仿宋_GB2312"/>
          <w:bCs/>
          <w:color w:val="000000"/>
          <w:sz w:val="32"/>
          <w:szCs w:val="32"/>
          <w:lang w:val="en-US" w:eastAsia="zh-CN"/>
        </w:rPr>
        <w:t xml:space="preserve">2020 </w:t>
      </w:r>
      <w:r>
        <w:rPr>
          <w:rFonts w:hint="eastAsia" w:ascii="仿宋_GB2312" w:hAnsi="华文仿宋" w:eastAsia="仿宋_GB2312"/>
          <w:bCs/>
          <w:color w:val="000000"/>
          <w:sz w:val="32"/>
          <w:szCs w:val="32"/>
        </w:rPr>
        <w:t>年（上一年）预算</w:t>
      </w:r>
      <w:r>
        <w:rPr>
          <w:rFonts w:hint="eastAsia" w:ascii="仿宋_GB2312" w:hAnsi="华文仿宋" w:eastAsia="仿宋_GB2312"/>
          <w:bCs/>
          <w:color w:val="000000"/>
          <w:sz w:val="32"/>
          <w:szCs w:val="32"/>
          <w:lang w:val="en-US" w:eastAsia="zh-CN"/>
        </w:rPr>
        <w:t>0.6</w:t>
      </w:r>
      <w:r>
        <w:rPr>
          <w:rFonts w:hint="eastAsia" w:ascii="仿宋_GB2312" w:hAnsi="华文仿宋" w:eastAsia="仿宋_GB2312"/>
          <w:bCs/>
          <w:color w:val="000000"/>
          <w:sz w:val="32"/>
          <w:szCs w:val="32"/>
        </w:rPr>
        <w:t>万元，同比减少</w:t>
      </w:r>
      <w:r>
        <w:rPr>
          <w:rFonts w:hint="eastAsia" w:ascii="仿宋_GB2312" w:hAnsi="华文仿宋" w:eastAsia="仿宋_GB2312"/>
          <w:bCs/>
          <w:color w:val="000000"/>
          <w:sz w:val="32"/>
          <w:szCs w:val="32"/>
          <w:lang w:val="en-US" w:eastAsia="zh-CN"/>
        </w:rPr>
        <w:t>0.04</w:t>
      </w:r>
      <w:r>
        <w:rPr>
          <w:rFonts w:hint="eastAsia" w:ascii="仿宋_GB2312" w:hAnsi="华文仿宋" w:eastAsia="仿宋_GB2312"/>
          <w:bCs/>
          <w:color w:val="000000"/>
          <w:sz w:val="32"/>
          <w:szCs w:val="32"/>
        </w:rPr>
        <w:t>万元，同比下降</w:t>
      </w:r>
      <w:r>
        <w:rPr>
          <w:rFonts w:hint="eastAsia" w:ascii="仿宋_GB2312" w:hAnsi="仿宋_GB2312" w:eastAsia="仿宋_GB2312"/>
          <w:sz w:val="32"/>
        </w:rPr>
        <w:t>6.</w:t>
      </w:r>
      <w:r>
        <w:rPr>
          <w:rFonts w:hint="eastAsia" w:ascii="仿宋_GB2312" w:hAnsi="仿宋_GB2312" w:eastAsia="仿宋_GB2312"/>
          <w:sz w:val="32"/>
          <w:lang w:val="en-US" w:eastAsia="zh-CN"/>
        </w:rPr>
        <w:t>7</w:t>
      </w:r>
      <w:r>
        <w:rPr>
          <w:rFonts w:hint="eastAsia" w:ascii="仿宋_GB2312" w:hAnsi="华文仿宋" w:eastAsia="仿宋_GB2312"/>
          <w:bCs/>
          <w:color w:val="000000"/>
          <w:sz w:val="32"/>
          <w:szCs w:val="32"/>
        </w:rPr>
        <w:t>%。</w:t>
      </w:r>
      <w:r>
        <w:rPr>
          <w:rFonts w:hint="eastAsia" w:ascii="仿宋_GB2312" w:hAnsi="华文仿宋" w:eastAsia="仿宋_GB2312"/>
          <w:bCs/>
          <w:strike w:val="0"/>
          <w:color w:val="000000"/>
          <w:sz w:val="32"/>
          <w:szCs w:val="32"/>
          <w:lang w:eastAsia="zh-CN"/>
        </w:rPr>
        <w:t>其中：</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outlineLvl w:val="9"/>
        <w:rPr>
          <w:rFonts w:hint="eastAsia" w:ascii="仿宋_GB2312" w:hAnsi="华文仿宋" w:eastAsia="仿宋_GB2312"/>
          <w:bCs/>
          <w:color w:val="000000"/>
          <w:sz w:val="32"/>
          <w:szCs w:val="32"/>
          <w:lang w:val="en-US" w:eastAsia="zh-CN"/>
        </w:rPr>
      </w:pPr>
      <w:r>
        <w:rPr>
          <w:rFonts w:hint="eastAsia" w:ascii="仿宋_GB2312" w:hAnsi="华文仿宋" w:eastAsia="仿宋_GB2312" w:cs="Times New Roman"/>
          <w:b w:val="0"/>
          <w:bCs w:val="0"/>
          <w:color w:val="auto"/>
          <w:kern w:val="2"/>
          <w:sz w:val="32"/>
          <w:szCs w:val="32"/>
          <w:lang w:val="en-US" w:eastAsia="zh-CN" w:bidi="ar-SA"/>
        </w:rPr>
        <w:t>（一）</w:t>
      </w:r>
      <w:r>
        <w:rPr>
          <w:rFonts w:hint="eastAsia" w:ascii="仿宋_GB2312" w:hAnsi="华文仿宋" w:eastAsia="仿宋_GB2312"/>
          <w:bCs/>
          <w:color w:val="000000"/>
          <w:sz w:val="32"/>
          <w:szCs w:val="32"/>
        </w:rPr>
        <w:t>公务接待费</w:t>
      </w:r>
      <w:r>
        <w:rPr>
          <w:rFonts w:hint="eastAsia" w:ascii="仿宋_GB2312" w:hAnsi="华文仿宋" w:eastAsia="仿宋_GB2312"/>
          <w:bCs/>
          <w:color w:val="000000"/>
          <w:sz w:val="32"/>
          <w:szCs w:val="32"/>
          <w:lang w:eastAsia="zh-CN"/>
        </w:rPr>
        <w:t>202</w:t>
      </w:r>
      <w:r>
        <w:rPr>
          <w:rFonts w:hint="eastAsia" w:ascii="仿宋_GB2312" w:hAnsi="华文仿宋" w:eastAsia="仿宋_GB2312"/>
          <w:bCs/>
          <w:color w:val="000000"/>
          <w:sz w:val="32"/>
          <w:szCs w:val="32"/>
          <w:lang w:val="en-US" w:eastAsia="zh-CN"/>
        </w:rPr>
        <w:t>1</w:t>
      </w:r>
      <w:r>
        <w:rPr>
          <w:rFonts w:hint="eastAsia" w:ascii="仿宋_GB2312" w:hAnsi="华文仿宋" w:eastAsia="仿宋_GB2312"/>
          <w:bCs/>
          <w:color w:val="000000"/>
          <w:sz w:val="32"/>
          <w:szCs w:val="32"/>
        </w:rPr>
        <w:t>年预算</w:t>
      </w:r>
      <w:r>
        <w:rPr>
          <w:rFonts w:hint="eastAsia" w:ascii="仿宋_GB2312" w:hAnsi="华文仿宋" w:eastAsia="仿宋_GB2312"/>
          <w:bCs/>
          <w:color w:val="000000"/>
          <w:sz w:val="32"/>
          <w:szCs w:val="32"/>
          <w:lang w:val="en-US" w:eastAsia="zh-CN"/>
        </w:rPr>
        <w:t>0.56</w:t>
      </w:r>
      <w:r>
        <w:rPr>
          <w:rFonts w:hint="eastAsia" w:ascii="仿宋_GB2312" w:hAnsi="华文仿宋" w:eastAsia="仿宋_GB2312"/>
          <w:bCs/>
          <w:color w:val="000000"/>
          <w:sz w:val="32"/>
          <w:szCs w:val="32"/>
        </w:rPr>
        <w:t>万元，同比减少</w:t>
      </w:r>
      <w:r>
        <w:rPr>
          <w:rFonts w:hint="eastAsia" w:ascii="仿宋_GB2312" w:hAnsi="华文仿宋" w:eastAsia="仿宋_GB2312"/>
          <w:bCs/>
          <w:color w:val="000000"/>
          <w:sz w:val="32"/>
          <w:szCs w:val="32"/>
          <w:lang w:val="en-US" w:eastAsia="zh-CN"/>
        </w:rPr>
        <w:t>0.04</w:t>
      </w:r>
      <w:r>
        <w:rPr>
          <w:rFonts w:hint="eastAsia" w:ascii="仿宋_GB2312" w:hAnsi="华文仿宋" w:eastAsia="仿宋_GB2312"/>
          <w:bCs/>
          <w:color w:val="000000"/>
          <w:sz w:val="32"/>
          <w:szCs w:val="32"/>
        </w:rPr>
        <w:t>万元，同比下降</w:t>
      </w:r>
      <w:r>
        <w:rPr>
          <w:rFonts w:hint="eastAsia" w:ascii="仿宋_GB2312" w:hAnsi="仿宋_GB2312" w:eastAsia="仿宋_GB2312"/>
          <w:sz w:val="32"/>
        </w:rPr>
        <w:t>6.</w:t>
      </w:r>
      <w:r>
        <w:rPr>
          <w:rFonts w:hint="eastAsia" w:ascii="仿宋_GB2312" w:hAnsi="仿宋_GB2312" w:eastAsia="仿宋_GB2312"/>
          <w:sz w:val="32"/>
          <w:lang w:val="en-US" w:eastAsia="zh-CN"/>
        </w:rPr>
        <w:t>7</w:t>
      </w:r>
      <w:r>
        <w:rPr>
          <w:rFonts w:hint="eastAsia" w:ascii="仿宋_GB2312" w:hAnsi="华文仿宋" w:eastAsia="仿宋_GB2312"/>
          <w:bCs/>
          <w:color w:val="000000"/>
          <w:sz w:val="32"/>
          <w:szCs w:val="32"/>
        </w:rPr>
        <w:t>%</w:t>
      </w:r>
      <w:r>
        <w:rPr>
          <w:rFonts w:hint="eastAsia" w:ascii="仿宋_GB2312" w:hAnsi="华文仿宋" w:eastAsia="仿宋_GB2312"/>
          <w:bCs/>
          <w:color w:val="000000"/>
          <w:sz w:val="32"/>
          <w:szCs w:val="32"/>
          <w:lang w:eastAsia="zh-CN"/>
        </w:rPr>
        <w:t>，</w:t>
      </w:r>
      <w:r>
        <w:rPr>
          <w:rFonts w:hint="eastAsia" w:ascii="仿宋_GB2312" w:hAnsi="华文仿宋" w:eastAsia="仿宋_GB2312"/>
          <w:bCs/>
          <w:color w:val="000000"/>
          <w:sz w:val="32"/>
          <w:szCs w:val="32"/>
        </w:rPr>
        <w:t>减少原因：</w:t>
      </w:r>
      <w:r>
        <w:rPr>
          <w:rFonts w:hint="eastAsia" w:ascii="仿宋_GB2312" w:hAnsi="华文仿宋" w:eastAsia="仿宋_GB2312"/>
          <w:bCs/>
          <w:color w:val="000000"/>
          <w:sz w:val="32"/>
          <w:szCs w:val="32"/>
          <w:lang w:val="en-US" w:eastAsia="zh-CN"/>
        </w:rPr>
        <w:t>厉行节俭，压减支出</w:t>
      </w:r>
      <w:r>
        <w:rPr>
          <w:rFonts w:hint="eastAsia" w:ascii="仿宋_GB2312" w:hAnsi="华文仿宋" w:eastAsia="仿宋_GB2312"/>
          <w:bCs/>
          <w:color w:val="000000"/>
          <w:sz w:val="32"/>
          <w:szCs w:val="32"/>
          <w:lang w:eastAsia="zh-CN"/>
        </w:rPr>
        <w:t>。</w:t>
      </w:r>
      <w:r>
        <w:rPr>
          <w:rFonts w:hint="eastAsia" w:ascii="仿宋_GB2312" w:hAnsi="华文仿宋" w:eastAsia="仿宋_GB2312"/>
          <w:bCs/>
          <w:color w:val="000000"/>
          <w:sz w:val="32"/>
          <w:szCs w:val="32"/>
          <w:lang w:val="en-US" w:eastAsia="zh-CN"/>
        </w:rPr>
        <w:t xml:space="preserve"> </w:t>
      </w:r>
      <w:r>
        <w:rPr>
          <w:rFonts w:hint="eastAsia" w:ascii="仿宋_GB2312" w:hAnsi="华文仿宋" w:eastAsia="仿宋_GB2312"/>
          <w:bCs/>
          <w:color w:val="000000"/>
          <w:sz w:val="32"/>
          <w:szCs w:val="32"/>
          <w:lang w:eastAsia="zh-CN"/>
        </w:rPr>
        <w:t>主要用于</w:t>
      </w:r>
      <w:r>
        <w:rPr>
          <w:rFonts w:hint="eastAsia" w:ascii="仿宋_GB2312" w:hAnsi="华文仿宋" w:eastAsia="仿宋_GB2312"/>
          <w:bCs/>
          <w:color w:val="000000"/>
          <w:sz w:val="32"/>
          <w:szCs w:val="32"/>
          <w:lang w:val="en-US" w:eastAsia="zh-CN"/>
        </w:rPr>
        <w:t xml:space="preserve">接待来访单位用餐费用。                                           </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outlineLvl w:val="9"/>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八、政府性基金预算情况说明</w:t>
      </w:r>
    </w:p>
    <w:p>
      <w:pPr>
        <w:numPr>
          <w:ilvl w:val="0"/>
          <w:numId w:val="0"/>
        </w:numPr>
        <w:tabs>
          <w:tab w:val="center" w:pos="4475"/>
        </w:tabs>
        <w:spacing w:line="560" w:lineRule="exact"/>
        <w:ind w:firstLine="640" w:firstLineChars="200"/>
        <w:rPr>
          <w:rFonts w:hint="eastAsia" w:ascii="仿宋_GB2312" w:hAnsi="华文仿宋" w:eastAsia="仿宋_GB2312" w:cs="宋体"/>
          <w:bCs/>
          <w:color w:val="000000"/>
          <w:kern w:val="0"/>
          <w:sz w:val="32"/>
          <w:szCs w:val="32"/>
          <w:lang w:val="en-US" w:eastAsia="zh-CN" w:bidi="ar-SA"/>
        </w:rPr>
      </w:pPr>
      <w:r>
        <w:rPr>
          <w:rFonts w:hint="eastAsia" w:ascii="仿宋_GB2312" w:hAnsi="华文仿宋" w:eastAsia="仿宋_GB2312" w:cs="宋体"/>
          <w:bCs/>
          <w:color w:val="000000"/>
          <w:kern w:val="0"/>
          <w:sz w:val="32"/>
          <w:szCs w:val="32"/>
          <w:lang w:val="en-US" w:eastAsia="zh-CN" w:bidi="ar-SA"/>
        </w:rPr>
        <w:t>2021年本单位无政府性基金预算支出安排。</w:t>
      </w:r>
    </w:p>
    <w:p>
      <w:pPr>
        <w:numPr>
          <w:ilvl w:val="0"/>
          <w:numId w:val="3"/>
        </w:numPr>
        <w:tabs>
          <w:tab w:val="center" w:pos="4475"/>
        </w:tabs>
        <w:spacing w:line="560" w:lineRule="exact"/>
        <w:ind w:firstLine="643" w:firstLineChars="200"/>
        <w:rPr>
          <w:rFonts w:hint="eastAsia" w:ascii="黑体" w:hAnsi="黑体" w:eastAsia="黑体" w:cs="黑体"/>
          <w:b/>
          <w:bCs/>
          <w:color w:val="000000"/>
          <w:kern w:val="0"/>
          <w:sz w:val="32"/>
          <w:szCs w:val="32"/>
        </w:rPr>
      </w:pPr>
      <w:r>
        <w:rPr>
          <w:rFonts w:hint="eastAsia" w:ascii="黑体" w:hAnsi="黑体" w:eastAsia="黑体" w:cs="黑体"/>
          <w:b/>
          <w:bCs/>
          <w:color w:val="000000"/>
          <w:kern w:val="0"/>
          <w:sz w:val="32"/>
          <w:szCs w:val="32"/>
          <w:lang w:val="en-US" w:eastAsia="zh-CN" w:bidi="ar-SA"/>
        </w:rPr>
        <w:t>国有资本经营预算</w:t>
      </w:r>
      <w:r>
        <w:rPr>
          <w:rFonts w:hint="eastAsia" w:ascii="黑体" w:hAnsi="黑体" w:eastAsia="黑体" w:cs="黑体"/>
          <w:b/>
          <w:bCs/>
          <w:color w:val="000000"/>
          <w:kern w:val="0"/>
          <w:sz w:val="32"/>
          <w:szCs w:val="32"/>
        </w:rPr>
        <w:t>情况说明</w:t>
      </w:r>
    </w:p>
    <w:p>
      <w:pPr>
        <w:numPr>
          <w:ilvl w:val="0"/>
          <w:numId w:val="0"/>
        </w:numPr>
        <w:tabs>
          <w:tab w:val="center" w:pos="4475"/>
        </w:tabs>
        <w:spacing w:line="560" w:lineRule="exact"/>
        <w:ind w:firstLine="640" w:firstLineChars="200"/>
        <w:rPr>
          <w:rFonts w:hint="eastAsia" w:ascii="仿宋_GB2312" w:hAnsi="华文仿宋" w:eastAsia="仿宋_GB2312" w:cs="宋体"/>
          <w:bCs/>
          <w:color w:val="000000"/>
          <w:kern w:val="0"/>
          <w:sz w:val="32"/>
          <w:szCs w:val="32"/>
          <w:lang w:val="en-US" w:eastAsia="zh-CN" w:bidi="ar-SA"/>
        </w:rPr>
      </w:pPr>
      <w:r>
        <w:rPr>
          <w:rFonts w:hint="eastAsia" w:ascii="仿宋_GB2312" w:hAnsi="华文仿宋" w:eastAsia="仿宋_GB2312" w:cs="宋体"/>
          <w:bCs/>
          <w:color w:val="000000"/>
          <w:kern w:val="0"/>
          <w:sz w:val="32"/>
          <w:szCs w:val="32"/>
          <w:lang w:val="en-US" w:eastAsia="zh-CN" w:bidi="ar-SA"/>
        </w:rPr>
        <w:t>2021年本单位无国有资本经营预算支出安排。</w:t>
      </w:r>
    </w:p>
    <w:p>
      <w:pPr>
        <w:tabs>
          <w:tab w:val="center" w:pos="4475"/>
        </w:tabs>
        <w:spacing w:line="560" w:lineRule="exact"/>
        <w:ind w:firstLine="643" w:firstLineChars="200"/>
        <w:rPr>
          <w:rFonts w:hint="eastAsia" w:ascii="黑体" w:hAnsi="黑体" w:eastAsia="黑体" w:cs="黑体"/>
          <w:b/>
          <w:bCs/>
          <w:color w:val="000000"/>
          <w:kern w:val="0"/>
          <w:sz w:val="32"/>
          <w:szCs w:val="32"/>
        </w:rPr>
      </w:pPr>
      <w:r>
        <w:rPr>
          <w:rFonts w:hint="eastAsia" w:ascii="黑体" w:hAnsi="黑体" w:eastAsia="黑体" w:cs="黑体"/>
          <w:b/>
          <w:bCs/>
          <w:color w:val="000000"/>
          <w:kern w:val="0"/>
          <w:sz w:val="32"/>
          <w:szCs w:val="32"/>
          <w:lang w:val="en-US" w:eastAsia="zh-CN" w:bidi="ar-SA"/>
        </w:rPr>
        <w:t>十、政府采购预算</w:t>
      </w:r>
      <w:r>
        <w:rPr>
          <w:rFonts w:hint="eastAsia" w:ascii="黑体" w:hAnsi="黑体" w:eastAsia="黑体" w:cs="黑体"/>
          <w:b/>
          <w:bCs/>
          <w:color w:val="000000"/>
          <w:kern w:val="0"/>
          <w:sz w:val="32"/>
          <w:szCs w:val="32"/>
        </w:rPr>
        <w:t>情况说明</w:t>
      </w:r>
    </w:p>
    <w:p>
      <w:pPr>
        <w:keepNext w:val="0"/>
        <w:keepLines w:val="0"/>
        <w:pageBreakBefore w:val="0"/>
        <w:kinsoku/>
        <w:wordWrap/>
        <w:overflowPunct/>
        <w:topLinePunct w:val="0"/>
        <w:autoSpaceDE/>
        <w:autoSpaceDN/>
        <w:bidi w:val="0"/>
        <w:spacing w:beforeAutospacing="0" w:afterAutospacing="0" w:line="560" w:lineRule="exact"/>
        <w:ind w:firstLine="640"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仿宋_GB2312" w:hAnsi="华文仿宋" w:eastAsia="仿宋_GB2312" w:cs="宋体"/>
          <w:bCs/>
          <w:color w:val="000000"/>
          <w:kern w:val="0"/>
          <w:sz w:val="32"/>
          <w:szCs w:val="32"/>
          <w:lang w:val="en-US" w:eastAsia="zh-CN" w:bidi="ar-SA"/>
        </w:rPr>
        <w:t>2021年政府采购预算</w:t>
      </w:r>
      <w:r>
        <w:rPr>
          <w:rFonts w:hint="eastAsia" w:ascii="仿宋_GB2312" w:hAnsi="仿宋_GB2312" w:eastAsia="仿宋_GB2312"/>
          <w:color w:val="000000"/>
          <w:sz w:val="32"/>
          <w:lang w:val="en-US"/>
        </w:rPr>
        <w:t>19</w:t>
      </w:r>
      <w:r>
        <w:rPr>
          <w:rFonts w:hint="eastAsia" w:ascii="仿宋_GB2312" w:hAnsi="华文仿宋" w:eastAsia="仿宋_GB2312" w:cs="宋体"/>
          <w:bCs/>
          <w:color w:val="000000"/>
          <w:kern w:val="0"/>
          <w:sz w:val="32"/>
          <w:szCs w:val="32"/>
          <w:lang w:val="en-US" w:eastAsia="zh-CN" w:bidi="ar-SA"/>
        </w:rPr>
        <w:t>万元，同比增加</w:t>
      </w:r>
      <w:r>
        <w:rPr>
          <w:rFonts w:hint="eastAsia" w:ascii="仿宋_GB2312" w:hAnsi="仿宋_GB2312" w:eastAsia="仿宋_GB2312"/>
          <w:sz w:val="32"/>
        </w:rPr>
        <w:t>4</w:t>
      </w:r>
      <w:r>
        <w:rPr>
          <w:rFonts w:hint="eastAsia" w:ascii="仿宋_GB2312" w:hAnsi="华文仿宋" w:eastAsia="仿宋_GB2312" w:cs="宋体"/>
          <w:bCs/>
          <w:color w:val="000000"/>
          <w:kern w:val="0"/>
          <w:sz w:val="32"/>
          <w:szCs w:val="32"/>
          <w:lang w:val="en-US" w:eastAsia="zh-CN" w:bidi="ar-SA"/>
        </w:rPr>
        <w:t>万元，增长</w:t>
      </w:r>
      <w:r>
        <w:rPr>
          <w:rFonts w:hint="eastAsia" w:ascii="仿宋_GB2312" w:hAnsi="仿宋_GB2312" w:eastAsia="仿宋_GB2312"/>
          <w:sz w:val="32"/>
        </w:rPr>
        <w:t>26.</w:t>
      </w:r>
      <w:r>
        <w:rPr>
          <w:rFonts w:hint="eastAsia" w:ascii="仿宋_GB2312" w:hAnsi="仿宋_GB2312" w:eastAsia="仿宋_GB2312"/>
          <w:sz w:val="32"/>
          <w:lang w:val="en-US" w:eastAsia="zh-CN"/>
        </w:rPr>
        <w:t>7</w:t>
      </w:r>
      <w:r>
        <w:rPr>
          <w:rFonts w:hint="eastAsia" w:ascii="仿宋_GB2312" w:hAnsi="华文仿宋" w:eastAsia="仿宋_GB2312" w:cs="宋体"/>
          <w:bCs/>
          <w:color w:val="000000"/>
          <w:kern w:val="0"/>
          <w:sz w:val="32"/>
          <w:szCs w:val="32"/>
          <w:lang w:val="en-US" w:eastAsia="zh-CN" w:bidi="ar-SA"/>
        </w:rPr>
        <w:t>%。</w:t>
      </w:r>
    </w:p>
    <w:p>
      <w:pPr>
        <w:keepNext w:val="0"/>
        <w:keepLines w:val="0"/>
        <w:pageBreakBefore w:val="0"/>
        <w:kinsoku/>
        <w:wordWrap/>
        <w:overflowPunct/>
        <w:topLinePunct w:val="0"/>
        <w:autoSpaceDE/>
        <w:autoSpaceDN/>
        <w:bidi w:val="0"/>
        <w:spacing w:beforeAutospacing="0" w:afterAutospacing="0" w:line="560" w:lineRule="exact"/>
        <w:ind w:firstLine="640"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仿宋_GB2312" w:hAnsi="华文仿宋" w:eastAsia="仿宋_GB2312" w:cs="宋体"/>
          <w:bCs/>
          <w:strike w:val="0"/>
          <w:color w:val="000000"/>
          <w:kern w:val="0"/>
          <w:sz w:val="32"/>
          <w:szCs w:val="32"/>
          <w:lang w:val="en-US" w:eastAsia="zh-CN" w:bidi="ar-SA"/>
        </w:rPr>
        <w:t>（一）</w:t>
      </w:r>
      <w:r>
        <w:rPr>
          <w:rFonts w:hint="eastAsia" w:ascii="仿宋_GB2312" w:hAnsi="华文仿宋" w:eastAsia="仿宋_GB2312" w:cs="宋体"/>
          <w:bCs/>
          <w:color w:val="000000"/>
          <w:kern w:val="0"/>
          <w:sz w:val="32"/>
          <w:szCs w:val="32"/>
          <w:lang w:val="en-US" w:eastAsia="zh-CN" w:bidi="ar-SA"/>
        </w:rPr>
        <w:t>按政府采购项目类型划分</w:t>
      </w:r>
    </w:p>
    <w:p>
      <w:pPr>
        <w:keepNext w:val="0"/>
        <w:keepLines w:val="0"/>
        <w:pageBreakBefore w:val="0"/>
        <w:kinsoku/>
        <w:wordWrap/>
        <w:overflowPunct/>
        <w:topLinePunct w:val="0"/>
        <w:autoSpaceDE/>
        <w:autoSpaceDN/>
        <w:bidi w:val="0"/>
        <w:spacing w:beforeAutospacing="0" w:afterAutospacing="0" w:line="560" w:lineRule="exact"/>
        <w:ind w:firstLine="640"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仿宋_GB2312" w:hAnsi="华文仿宋" w:eastAsia="仿宋_GB2312" w:cs="宋体"/>
          <w:bCs/>
          <w:color w:val="000000"/>
          <w:kern w:val="0"/>
          <w:sz w:val="32"/>
          <w:szCs w:val="32"/>
          <w:lang w:val="en-US" w:eastAsia="zh-CN" w:bidi="ar-SA"/>
        </w:rPr>
        <w:t>政府集中采购预算</w:t>
      </w:r>
      <w:r>
        <w:rPr>
          <w:rFonts w:hint="eastAsia" w:ascii="仿宋_GB2312" w:hAnsi="仿宋_GB2312" w:eastAsia="仿宋_GB2312"/>
          <w:sz w:val="32"/>
        </w:rPr>
        <w:t>8</w:t>
      </w:r>
      <w:r>
        <w:rPr>
          <w:rFonts w:hint="eastAsia" w:ascii="仿宋_GB2312" w:hAnsi="华文仿宋" w:eastAsia="仿宋_GB2312" w:cs="宋体"/>
          <w:bCs/>
          <w:color w:val="000000"/>
          <w:kern w:val="0"/>
          <w:sz w:val="32"/>
          <w:szCs w:val="32"/>
          <w:lang w:val="en-US" w:eastAsia="zh-CN" w:bidi="ar-SA"/>
        </w:rPr>
        <w:t>万元,占政府采购预算的42.1%，同比增加8万元。</w:t>
      </w:r>
    </w:p>
    <w:p>
      <w:pPr>
        <w:keepNext w:val="0"/>
        <w:keepLines w:val="0"/>
        <w:pageBreakBefore w:val="0"/>
        <w:numPr>
          <w:ilvl w:val="0"/>
          <w:numId w:val="0"/>
        </w:numPr>
        <w:kinsoku/>
        <w:wordWrap/>
        <w:overflowPunct/>
        <w:topLinePunct w:val="0"/>
        <w:autoSpaceDE/>
        <w:autoSpaceDN/>
        <w:bidi w:val="0"/>
        <w:spacing w:beforeAutospacing="0" w:afterAutospacing="0" w:line="560" w:lineRule="exact"/>
        <w:ind w:firstLine="640" w:firstLineChars="200"/>
        <w:jc w:val="both"/>
        <w:textAlignment w:val="auto"/>
        <w:outlineLvl w:val="9"/>
        <w:rPr>
          <w:rFonts w:hint="default"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宋体"/>
          <w:bCs/>
          <w:color w:val="000000"/>
          <w:kern w:val="0"/>
          <w:sz w:val="32"/>
          <w:szCs w:val="32"/>
          <w:lang w:val="en-US" w:eastAsia="zh-CN" w:bidi="ar-SA"/>
        </w:rPr>
        <w:t>分散采购预算11万元，占政府采购预算的57.9%，同比减少4万元，下降26.7%。</w:t>
      </w:r>
    </w:p>
    <w:p>
      <w:pPr>
        <w:keepNext w:val="0"/>
        <w:keepLines w:val="0"/>
        <w:pageBreakBefore w:val="0"/>
        <w:numPr>
          <w:ilvl w:val="0"/>
          <w:numId w:val="0"/>
        </w:numPr>
        <w:kinsoku/>
        <w:wordWrap/>
        <w:overflowPunct/>
        <w:topLinePunct w:val="0"/>
        <w:autoSpaceDE/>
        <w:autoSpaceDN/>
        <w:bidi w:val="0"/>
        <w:spacing w:beforeAutospacing="0" w:afterAutospacing="0" w:line="560" w:lineRule="exact"/>
        <w:ind w:firstLine="640" w:firstLineChars="200"/>
        <w:jc w:val="both"/>
        <w:textAlignment w:val="auto"/>
        <w:outlineLvl w:val="9"/>
        <w:rPr>
          <w:rFonts w:hint="eastAsia"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宋体"/>
          <w:bCs/>
          <w:color w:val="000000"/>
          <w:kern w:val="0"/>
          <w:sz w:val="32"/>
          <w:szCs w:val="32"/>
          <w:lang w:val="en-US" w:eastAsia="zh-CN" w:bidi="ar-SA"/>
        </w:rPr>
        <w:t>（二）</w:t>
      </w:r>
      <w:r>
        <w:rPr>
          <w:rFonts w:hint="eastAsia" w:ascii="仿宋_GB2312" w:hAnsi="华文仿宋" w:eastAsia="仿宋_GB2312" w:cs="Times New Roman"/>
          <w:b w:val="0"/>
          <w:bCs w:val="0"/>
          <w:color w:val="auto"/>
          <w:kern w:val="2"/>
          <w:sz w:val="32"/>
          <w:szCs w:val="32"/>
          <w:lang w:val="en-US" w:eastAsia="zh-CN" w:bidi="ar-SA"/>
        </w:rPr>
        <w:t>按政府采购资金来源划分</w:t>
      </w:r>
    </w:p>
    <w:p>
      <w:pPr>
        <w:keepNext w:val="0"/>
        <w:keepLines w:val="0"/>
        <w:pageBreakBefore w:val="0"/>
        <w:numPr>
          <w:ilvl w:val="0"/>
          <w:numId w:val="0"/>
        </w:numPr>
        <w:kinsoku/>
        <w:wordWrap/>
        <w:overflowPunct/>
        <w:topLinePunct w:val="0"/>
        <w:autoSpaceDE/>
        <w:autoSpaceDN/>
        <w:bidi w:val="0"/>
        <w:spacing w:beforeAutospacing="0" w:afterAutospacing="0" w:line="560" w:lineRule="exact"/>
        <w:ind w:firstLine="640" w:firstLineChars="200"/>
        <w:jc w:val="both"/>
        <w:textAlignment w:val="auto"/>
        <w:outlineLvl w:val="9"/>
        <w:rPr>
          <w:rFonts w:hint="default"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通过一般公共预算安排采购支出预算19万元。</w:t>
      </w:r>
    </w:p>
    <w:p>
      <w:pPr>
        <w:tabs>
          <w:tab w:val="center" w:pos="4475"/>
        </w:tabs>
        <w:spacing w:line="560" w:lineRule="exact"/>
        <w:ind w:firstLine="643" w:firstLineChars="200"/>
        <w:rPr>
          <w:rFonts w:hint="eastAsia" w:ascii="黑体" w:hAnsi="黑体" w:eastAsia="黑体" w:cs="黑体"/>
          <w:b/>
          <w:bCs/>
          <w:color w:val="000000"/>
          <w:kern w:val="0"/>
          <w:sz w:val="32"/>
          <w:szCs w:val="32"/>
        </w:rPr>
      </w:pPr>
      <w:r>
        <w:rPr>
          <w:rFonts w:hint="eastAsia" w:ascii="黑体" w:hAnsi="黑体" w:eastAsia="黑体" w:cs="黑体"/>
          <w:b/>
          <w:bCs/>
          <w:color w:val="000000"/>
          <w:kern w:val="0"/>
          <w:sz w:val="32"/>
          <w:szCs w:val="32"/>
          <w:lang w:val="en-US" w:eastAsia="zh-CN" w:bidi="ar-SA"/>
        </w:rPr>
        <w:t>十一、政府购买服务预算</w:t>
      </w:r>
      <w:r>
        <w:rPr>
          <w:rFonts w:hint="eastAsia" w:ascii="黑体" w:hAnsi="黑体" w:eastAsia="黑体" w:cs="黑体"/>
          <w:b/>
          <w:bCs/>
          <w:color w:val="000000"/>
          <w:kern w:val="0"/>
          <w:sz w:val="32"/>
          <w:szCs w:val="32"/>
        </w:rPr>
        <w:t>情况说明</w:t>
      </w:r>
    </w:p>
    <w:p>
      <w:pPr>
        <w:keepNext w:val="0"/>
        <w:keepLines w:val="0"/>
        <w:pageBreakBefore w:val="0"/>
        <w:numPr>
          <w:ilvl w:val="0"/>
          <w:numId w:val="0"/>
        </w:numPr>
        <w:kinsoku/>
        <w:wordWrap/>
        <w:overflowPunct/>
        <w:topLinePunct w:val="0"/>
        <w:autoSpaceDE/>
        <w:autoSpaceDN/>
        <w:bidi w:val="0"/>
        <w:spacing w:beforeAutospacing="0" w:afterAutospacing="0" w:line="560" w:lineRule="exact"/>
        <w:ind w:firstLine="640" w:firstLineChars="200"/>
        <w:jc w:val="both"/>
        <w:textAlignment w:val="auto"/>
        <w:outlineLvl w:val="9"/>
        <w:rPr>
          <w:rFonts w:hint="default"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宋体"/>
          <w:bCs/>
          <w:color w:val="000000"/>
          <w:kern w:val="0"/>
          <w:sz w:val="32"/>
          <w:szCs w:val="32"/>
          <w:lang w:val="en-US" w:eastAsia="zh-CN" w:bidi="ar-SA"/>
        </w:rPr>
        <w:t>2021年纳入政府购买服务预算支出12万元，均</w:t>
      </w:r>
      <w:r>
        <w:rPr>
          <w:rFonts w:hint="eastAsia" w:ascii="仿宋_GB2312" w:hAnsi="华文仿宋" w:eastAsia="仿宋_GB2312" w:cs="Times New Roman"/>
          <w:b w:val="0"/>
          <w:bCs w:val="0"/>
          <w:color w:val="auto"/>
          <w:kern w:val="2"/>
          <w:sz w:val="32"/>
          <w:szCs w:val="32"/>
          <w:lang w:val="en-US" w:eastAsia="zh-CN" w:bidi="ar-SA"/>
        </w:rPr>
        <w:t>通过一般公共预算安排购买服务支出预算。</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3" w:firstLineChars="200"/>
        <w:jc w:val="both"/>
        <w:textAlignment w:val="auto"/>
        <w:outlineLvl w:val="9"/>
        <w:rPr>
          <w:rFonts w:hint="eastAsia" w:ascii="黑体" w:hAnsi="黑体" w:eastAsia="黑体" w:cs="黑体"/>
          <w:b/>
          <w:bCs/>
          <w:color w:val="000000"/>
          <w:sz w:val="32"/>
          <w:szCs w:val="32"/>
        </w:rPr>
      </w:pPr>
      <w:r>
        <w:rPr>
          <w:rFonts w:hint="eastAsia" w:ascii="黑体" w:hAnsi="黑体" w:eastAsia="黑体" w:cs="黑体"/>
          <w:b/>
          <w:bCs/>
          <w:color w:val="000000"/>
          <w:sz w:val="32"/>
          <w:szCs w:val="32"/>
          <w:lang w:eastAsia="zh-CN"/>
        </w:rPr>
        <w:t>十二</w:t>
      </w:r>
      <w:r>
        <w:rPr>
          <w:rFonts w:hint="eastAsia" w:ascii="黑体" w:hAnsi="黑体" w:eastAsia="黑体" w:cs="黑体"/>
          <w:b/>
          <w:bCs/>
          <w:color w:val="000000"/>
          <w:sz w:val="32"/>
          <w:szCs w:val="32"/>
        </w:rPr>
        <w:t>、</w:t>
      </w:r>
      <w:r>
        <w:rPr>
          <w:rFonts w:hint="eastAsia" w:ascii="黑体" w:hAnsi="黑体" w:eastAsia="黑体" w:cs="黑体"/>
          <w:b/>
          <w:bCs/>
          <w:color w:val="000000"/>
          <w:sz w:val="32"/>
          <w:szCs w:val="32"/>
          <w:lang w:val="en-US" w:eastAsia="zh-CN"/>
        </w:rPr>
        <w:t>2021年单位预算其他</w:t>
      </w:r>
      <w:r>
        <w:rPr>
          <w:rFonts w:hint="eastAsia" w:ascii="黑体" w:hAnsi="黑体" w:eastAsia="黑体" w:cs="黑体"/>
          <w:b/>
          <w:bCs/>
          <w:strike/>
          <w:color w:val="000000"/>
          <w:sz w:val="32"/>
          <w:szCs w:val="32"/>
        </w:rPr>
        <w:t>重要</w:t>
      </w:r>
      <w:r>
        <w:rPr>
          <w:rFonts w:hint="eastAsia" w:ascii="黑体" w:hAnsi="黑体" w:eastAsia="黑体" w:cs="黑体"/>
          <w:b/>
          <w:bCs/>
          <w:color w:val="000000"/>
          <w:sz w:val="32"/>
          <w:szCs w:val="32"/>
        </w:rPr>
        <w:t>事项情况说明</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rPr>
          <w:rFonts w:hint="eastAsia" w:ascii="仿宋_GB2312" w:hAnsi="华文仿宋" w:eastAsia="仿宋_GB2312"/>
          <w:sz w:val="32"/>
          <w:szCs w:val="32"/>
          <w:highlight w:val="cyan"/>
          <w:lang w:eastAsia="zh-CN"/>
        </w:rPr>
      </w:pPr>
      <w:r>
        <w:rPr>
          <w:rFonts w:hint="eastAsia" w:ascii="楷体_GB2312" w:hAnsi="华文仿宋" w:eastAsia="楷体_GB2312"/>
          <w:b/>
          <w:bCs w:val="0"/>
          <w:color w:val="000000"/>
          <w:sz w:val="32"/>
          <w:szCs w:val="32"/>
        </w:rPr>
        <w:t>（一）机关运行经费安排情况</w:t>
      </w:r>
      <w:r>
        <w:rPr>
          <w:rFonts w:hint="eastAsia" w:ascii="楷体_GB2312" w:hAnsi="华文仿宋" w:eastAsia="楷体_GB2312"/>
          <w:b/>
          <w:bCs w:val="0"/>
          <w:color w:val="000000"/>
          <w:sz w:val="32"/>
          <w:szCs w:val="32"/>
          <w:lang w:eastAsia="zh-CN"/>
        </w:rPr>
        <w:t>说明</w:t>
      </w:r>
    </w:p>
    <w:p>
      <w:pPr>
        <w:keepNext w:val="0"/>
        <w:keepLines w:val="0"/>
        <w:pageBreakBefore w:val="0"/>
        <w:kinsoku/>
        <w:wordWrap/>
        <w:overflowPunct/>
        <w:topLinePunct w:val="0"/>
        <w:autoSpaceDE/>
        <w:autoSpaceDN/>
        <w:bidi w:val="0"/>
        <w:spacing w:beforeAutospacing="0" w:afterAutospacing="0" w:line="560" w:lineRule="exact"/>
        <w:ind w:firstLine="640" w:firstLineChars="200"/>
        <w:jc w:val="both"/>
        <w:textAlignment w:val="auto"/>
        <w:outlineLvl w:val="9"/>
        <w:rPr>
          <w:rFonts w:hint="default" w:ascii="仿宋_GB2312" w:hAnsi="华文仿宋" w:eastAsia="仿宋_GB2312" w:cs="宋体"/>
          <w:bCs/>
          <w:color w:val="000000"/>
          <w:kern w:val="0"/>
          <w:sz w:val="32"/>
          <w:szCs w:val="32"/>
          <w:lang w:val="en-US" w:eastAsia="zh-CN" w:bidi="ar-SA"/>
        </w:rPr>
      </w:pPr>
      <w:r>
        <w:rPr>
          <w:rFonts w:hint="eastAsia" w:ascii="仿宋_GB2312" w:hAnsi="华文仿宋" w:eastAsia="仿宋_GB2312" w:cs="宋体"/>
          <w:bCs/>
          <w:color w:val="000000"/>
          <w:kern w:val="0"/>
          <w:sz w:val="32"/>
          <w:szCs w:val="32"/>
          <w:lang w:val="en-US" w:eastAsia="zh-CN" w:bidi="ar-SA"/>
        </w:rPr>
        <w:t>2021年</w:t>
      </w:r>
      <w:r>
        <w:rPr>
          <w:rFonts w:hint="eastAsia" w:ascii="仿宋_GB2312" w:hAnsi="华文仿宋" w:eastAsia="仿宋_GB2312" w:cs="宋体"/>
          <w:bCs/>
          <w:strike w:val="0"/>
          <w:color w:val="000000"/>
          <w:kern w:val="0"/>
          <w:sz w:val="32"/>
          <w:szCs w:val="32"/>
          <w:lang w:val="en-US" w:eastAsia="zh-CN" w:bidi="ar-SA"/>
        </w:rPr>
        <w:t>行政</w:t>
      </w:r>
      <w:r>
        <w:rPr>
          <w:rFonts w:hint="eastAsia" w:ascii="仿宋_GB2312" w:hAnsi="华文仿宋" w:eastAsia="仿宋_GB2312" w:cs="宋体"/>
          <w:bCs/>
          <w:color w:val="000000"/>
          <w:kern w:val="0"/>
          <w:sz w:val="32"/>
          <w:szCs w:val="32"/>
          <w:lang w:val="en-US" w:eastAsia="zh-CN" w:bidi="ar-SA"/>
        </w:rPr>
        <w:t>运行预算41.64万元，同比增加0.53万元，同比增长0.01%，主要用于购买货物和服务，以保障单位运行。行政运行经费增加的原因:水电费由本单位自行缴费，不通过机关事务管理局处理。</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3" w:firstLineChars="200"/>
        <w:jc w:val="both"/>
        <w:textAlignment w:val="auto"/>
        <w:outlineLvl w:val="9"/>
        <w:rPr>
          <w:rFonts w:hint="eastAsia" w:ascii="楷体_GB2312" w:hAnsi="华文仿宋" w:eastAsia="楷体_GB2312"/>
          <w:b/>
          <w:bCs w:val="0"/>
          <w:strike w:val="0"/>
          <w:dstrike w:val="0"/>
          <w:color w:val="000000"/>
          <w:sz w:val="32"/>
          <w:szCs w:val="32"/>
          <w:lang w:eastAsia="zh-CN"/>
        </w:rPr>
      </w:pPr>
      <w:r>
        <w:rPr>
          <w:rFonts w:hint="eastAsia" w:ascii="楷体_GB2312" w:hAnsi="华文仿宋" w:eastAsia="楷体_GB2312"/>
          <w:b/>
          <w:bCs w:val="0"/>
          <w:color w:val="000000"/>
          <w:sz w:val="32"/>
          <w:szCs w:val="32"/>
          <w:lang w:eastAsia="zh-CN"/>
        </w:rPr>
        <w:t>（二</w:t>
      </w:r>
      <w:r>
        <w:rPr>
          <w:rFonts w:hint="eastAsia" w:ascii="楷体_GB2312" w:hAnsi="华文仿宋" w:eastAsia="楷体_GB2312"/>
          <w:b/>
          <w:bCs w:val="0"/>
          <w:color w:val="000000"/>
          <w:sz w:val="32"/>
          <w:szCs w:val="32"/>
        </w:rPr>
        <w:t>）</w:t>
      </w:r>
      <w:r>
        <w:rPr>
          <w:rFonts w:hint="eastAsia" w:ascii="楷体_GB2312" w:hAnsi="华文仿宋" w:eastAsia="楷体_GB2312"/>
          <w:b/>
          <w:bCs w:val="0"/>
          <w:strike w:val="0"/>
          <w:dstrike w:val="0"/>
          <w:color w:val="000000"/>
          <w:sz w:val="32"/>
          <w:szCs w:val="32"/>
        </w:rPr>
        <w:t>国有资产占用情况</w:t>
      </w:r>
      <w:r>
        <w:rPr>
          <w:rFonts w:hint="eastAsia" w:ascii="楷体_GB2312" w:hAnsi="华文仿宋" w:eastAsia="楷体_GB2312"/>
          <w:b/>
          <w:bCs w:val="0"/>
          <w:strike w:val="0"/>
          <w:dstrike w:val="0"/>
          <w:color w:val="000000"/>
          <w:sz w:val="32"/>
          <w:szCs w:val="32"/>
          <w:lang w:eastAsia="zh-CN"/>
        </w:rPr>
        <w:t>说明</w:t>
      </w:r>
    </w:p>
    <w:p>
      <w:pPr>
        <w:keepNext w:val="0"/>
        <w:keepLines w:val="0"/>
        <w:pageBreakBefore w:val="0"/>
        <w:kinsoku/>
        <w:wordWrap/>
        <w:overflowPunct/>
        <w:topLinePunct w:val="0"/>
        <w:autoSpaceDE/>
        <w:autoSpaceDN/>
        <w:bidi w:val="0"/>
        <w:spacing w:beforeAutospacing="0" w:afterAutospacing="0" w:line="560" w:lineRule="exact"/>
        <w:ind w:firstLine="640"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仿宋_GB2312" w:hAnsi="华文仿宋" w:eastAsia="仿宋_GB2312"/>
          <w:sz w:val="32"/>
          <w:szCs w:val="32"/>
        </w:rPr>
        <w:t>2021年本单位无国有资产占用情况</w:t>
      </w:r>
      <w:r>
        <w:rPr>
          <w:rFonts w:hint="eastAsia" w:ascii="仿宋_GB2312" w:hAnsi="华文仿宋" w:eastAsia="仿宋_GB2312"/>
          <w:sz w:val="32"/>
          <w:szCs w:val="32"/>
          <w:lang w:eastAsia="zh-CN"/>
        </w:rPr>
        <w:t>。</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rPr>
          <w:rFonts w:hint="eastAsia" w:ascii="楷体_GB2312" w:hAnsi="华文仿宋" w:eastAsia="楷体_GB2312"/>
          <w:b/>
          <w:bCs w:val="0"/>
          <w:color w:val="000000"/>
          <w:sz w:val="32"/>
          <w:szCs w:val="32"/>
        </w:rPr>
      </w:pPr>
      <w:r>
        <w:rPr>
          <w:rFonts w:hint="eastAsia" w:ascii="楷体_GB2312" w:hAnsi="华文仿宋" w:eastAsia="楷体_GB2312"/>
          <w:b/>
          <w:bCs w:val="0"/>
          <w:color w:val="000000"/>
          <w:sz w:val="32"/>
          <w:szCs w:val="32"/>
        </w:rPr>
        <w:t>（</w:t>
      </w:r>
      <w:r>
        <w:rPr>
          <w:rFonts w:hint="eastAsia" w:ascii="楷体_GB2312" w:hAnsi="华文仿宋" w:eastAsia="楷体_GB2312"/>
          <w:b/>
          <w:bCs w:val="0"/>
          <w:color w:val="000000"/>
          <w:sz w:val="32"/>
          <w:szCs w:val="32"/>
          <w:lang w:eastAsia="zh-CN"/>
        </w:rPr>
        <w:t>三</w:t>
      </w:r>
      <w:r>
        <w:rPr>
          <w:rFonts w:hint="eastAsia" w:ascii="楷体_GB2312" w:hAnsi="华文仿宋" w:eastAsia="楷体_GB2312"/>
          <w:b/>
          <w:bCs w:val="0"/>
          <w:color w:val="000000"/>
          <w:sz w:val="32"/>
          <w:szCs w:val="32"/>
        </w:rPr>
        <w:t>）</w:t>
      </w:r>
      <w:r>
        <w:rPr>
          <w:rFonts w:hint="eastAsia" w:ascii="楷体_GB2312" w:hAnsi="华文仿宋" w:eastAsia="楷体_GB2312"/>
          <w:b/>
          <w:bCs w:val="0"/>
          <w:strike w:val="0"/>
          <w:color w:val="000000"/>
          <w:sz w:val="32"/>
          <w:szCs w:val="32"/>
          <w:lang w:val="en-US" w:eastAsia="zh-CN"/>
        </w:rPr>
        <w:t>200万元以上项目</w:t>
      </w:r>
      <w:r>
        <w:rPr>
          <w:rFonts w:hint="eastAsia" w:ascii="楷体_GB2312" w:hAnsi="华文仿宋" w:eastAsia="楷体_GB2312"/>
          <w:b/>
          <w:bCs w:val="0"/>
          <w:color w:val="000000"/>
          <w:sz w:val="32"/>
          <w:szCs w:val="32"/>
        </w:rPr>
        <w:t>预算绩效情况说明</w:t>
      </w:r>
    </w:p>
    <w:p>
      <w:pPr>
        <w:keepNext w:val="0"/>
        <w:keepLines w:val="0"/>
        <w:pageBreakBefore w:val="0"/>
        <w:kinsoku/>
        <w:wordWrap/>
        <w:overflowPunct/>
        <w:topLinePunct w:val="0"/>
        <w:autoSpaceDE/>
        <w:autoSpaceDN/>
        <w:bidi w:val="0"/>
        <w:spacing w:beforeAutospacing="0" w:afterAutospacing="0" w:line="560" w:lineRule="exact"/>
        <w:ind w:firstLine="640" w:firstLineChars="200"/>
        <w:jc w:val="both"/>
        <w:textAlignment w:val="auto"/>
        <w:outlineLvl w:val="9"/>
        <w:rPr>
          <w:rFonts w:hint="eastAsia" w:ascii="仿宋_GB2312" w:hAnsi="华文仿宋" w:eastAsia="仿宋_GB2312"/>
          <w:b/>
          <w:bCs/>
          <w:color w:val="000000"/>
          <w:sz w:val="32"/>
          <w:szCs w:val="32"/>
          <w:lang w:eastAsia="zh-CN"/>
        </w:rPr>
      </w:pPr>
      <w:r>
        <w:rPr>
          <w:rFonts w:hint="eastAsia" w:ascii="仿宋_GB2312" w:hAnsi="华文仿宋" w:eastAsia="仿宋_GB2312"/>
          <w:sz w:val="32"/>
          <w:szCs w:val="32"/>
        </w:rPr>
        <w:t>2021年本单位无200万元以上项目预算绩效情况</w:t>
      </w:r>
      <w:r>
        <w:rPr>
          <w:rFonts w:hint="eastAsia" w:ascii="仿宋_GB2312" w:hAnsi="华文仿宋" w:eastAsia="仿宋_GB2312"/>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jc w:val="center"/>
        <w:textAlignment w:val="auto"/>
        <w:outlineLvl w:val="9"/>
        <w:rPr>
          <w:rFonts w:hint="eastAsia" w:ascii="仿宋_GB2312" w:hAnsi="华文仿宋" w:eastAsia="仿宋_GB2312"/>
          <w:b/>
          <w:bCs/>
          <w:color w:val="000000"/>
          <w:sz w:val="32"/>
          <w:szCs w:val="32"/>
          <w:lang w:eastAsia="zh-CN"/>
        </w:rPr>
      </w:pPr>
    </w:p>
    <w:p>
      <w:pPr>
        <w:keepNext w:val="0"/>
        <w:keepLines w:val="0"/>
        <w:pageBreakBefore w:val="0"/>
        <w:kinsoku/>
        <w:wordWrap/>
        <w:overflowPunct/>
        <w:topLinePunct w:val="0"/>
        <w:autoSpaceDE/>
        <w:autoSpaceDN/>
        <w:bidi w:val="0"/>
        <w:adjustRightInd w:val="0"/>
        <w:snapToGrid w:val="0"/>
        <w:spacing w:line="560" w:lineRule="exact"/>
        <w:ind w:right="-218" w:rightChars="-104"/>
        <w:jc w:val="center"/>
        <w:textAlignment w:val="auto"/>
        <w:rPr>
          <w:rStyle w:val="6"/>
          <w:rFonts w:hint="eastAsia" w:ascii="仿宋_GB2312" w:hAnsi="华文仿宋" w:eastAsia="仿宋_GB2312"/>
          <w:b/>
          <w:bCs/>
          <w:color w:val="000000"/>
          <w:sz w:val="32"/>
          <w:szCs w:val="32"/>
          <w:highlight w:val="none"/>
        </w:rPr>
      </w:pPr>
      <w:bookmarkStart w:id="0" w:name="_GoBack"/>
      <w:r>
        <w:rPr>
          <w:rStyle w:val="6"/>
          <w:rFonts w:hint="eastAsia" w:ascii="仿宋_GB2312" w:hAnsi="华文仿宋" w:eastAsia="仿宋_GB2312"/>
          <w:b/>
          <w:bCs/>
          <w:color w:val="000000"/>
          <w:sz w:val="32"/>
          <w:szCs w:val="32"/>
          <w:highlight w:val="none"/>
          <w:lang w:eastAsia="zh-CN"/>
        </w:rPr>
        <w:t>第</w:t>
      </w:r>
      <w:r>
        <w:rPr>
          <w:rStyle w:val="6"/>
          <w:rFonts w:hint="eastAsia" w:ascii="仿宋_GB2312" w:hAnsi="华文仿宋" w:eastAsia="仿宋_GB2312"/>
          <w:b/>
          <w:bCs/>
          <w:color w:val="000000"/>
          <w:sz w:val="32"/>
          <w:szCs w:val="32"/>
          <w:highlight w:val="none"/>
        </w:rPr>
        <w:t>四部分：名词解释</w:t>
      </w:r>
    </w:p>
    <w:bookmarkEnd w:id="0"/>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一、财政拨款收入</w:t>
      </w:r>
      <w:r>
        <w:rPr>
          <w:rFonts w:hint="eastAsia" w:ascii="仿宋_GB2312" w:hAnsi="华文仿宋" w:eastAsia="仿宋_GB2312" w:cs="宋体"/>
          <w:bCs/>
          <w:color w:val="000000"/>
          <w:kern w:val="0"/>
          <w:sz w:val="32"/>
          <w:szCs w:val="32"/>
          <w:lang w:val="en-US" w:eastAsia="zh-CN" w:bidi="ar-SA"/>
        </w:rPr>
        <w:t xml:space="preserve">：指市本级财政部门当年拨付的资金。 </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二、事业收入</w:t>
      </w:r>
      <w:r>
        <w:rPr>
          <w:rFonts w:hint="eastAsia" w:ascii="仿宋_GB2312" w:hAnsi="华文仿宋" w:eastAsia="仿宋_GB2312" w:cs="宋体"/>
          <w:bCs/>
          <w:color w:val="000000"/>
          <w:kern w:val="0"/>
          <w:sz w:val="32"/>
          <w:szCs w:val="32"/>
          <w:lang w:val="en-US" w:eastAsia="zh-CN" w:bidi="ar-SA"/>
        </w:rPr>
        <w:t>：指事业单位开展专业业务活动及辅助活动所取得的收入。</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三、经营收入</w:t>
      </w:r>
      <w:r>
        <w:rPr>
          <w:rFonts w:hint="eastAsia" w:ascii="仿宋_GB2312" w:hAnsi="华文仿宋" w:eastAsia="仿宋_GB2312" w:cs="宋体"/>
          <w:bCs/>
          <w:color w:val="000000"/>
          <w:kern w:val="0"/>
          <w:sz w:val="32"/>
          <w:szCs w:val="32"/>
          <w:lang w:val="en-US" w:eastAsia="zh-CN" w:bidi="ar-SA"/>
        </w:rPr>
        <w:t>：指事业单位在专业业务活动及其辅助活动之外开展非独立核算经营活动取得的收入。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四、其他收入</w:t>
      </w:r>
      <w:r>
        <w:rPr>
          <w:rFonts w:hint="eastAsia" w:ascii="仿宋_GB2312" w:hAnsi="华文仿宋" w:eastAsia="仿宋_GB2312" w:cs="宋体"/>
          <w:bCs/>
          <w:color w:val="000000"/>
          <w:kern w:val="0"/>
          <w:sz w:val="32"/>
          <w:szCs w:val="32"/>
          <w:lang w:val="en-US" w:eastAsia="zh-CN" w:bidi="ar-SA"/>
        </w:rPr>
        <w:t>：指除上述“财政拨款收入”“事业收入”“经营收入”等以外的收入。</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五、基本支出</w:t>
      </w:r>
      <w:r>
        <w:rPr>
          <w:rFonts w:hint="eastAsia" w:ascii="仿宋_GB2312" w:hAnsi="华文仿宋" w:eastAsia="仿宋_GB2312" w:cs="宋体"/>
          <w:bCs/>
          <w:color w:val="000000"/>
          <w:kern w:val="0"/>
          <w:sz w:val="32"/>
          <w:szCs w:val="32"/>
          <w:lang w:val="en-US" w:eastAsia="zh-CN" w:bidi="ar-SA"/>
        </w:rPr>
        <w:t>：指为保障机构正常运转、完成日常工作任务而发生的人员支出和公用支出。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六、项目支出</w:t>
      </w:r>
      <w:r>
        <w:rPr>
          <w:rFonts w:hint="eastAsia" w:ascii="仿宋_GB2312" w:hAnsi="华文仿宋" w:eastAsia="仿宋_GB2312" w:cs="宋体"/>
          <w:bCs/>
          <w:color w:val="000000"/>
          <w:kern w:val="0"/>
          <w:sz w:val="32"/>
          <w:szCs w:val="32"/>
          <w:lang w:val="en-US" w:eastAsia="zh-CN" w:bidi="ar-SA"/>
        </w:rPr>
        <w:t xml:space="preserve">：指在基本支出之外为完成特定行政任务和事业发展目标所发生的支出。  </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七、“三公”经费</w:t>
      </w:r>
      <w:r>
        <w:rPr>
          <w:rFonts w:hint="eastAsia" w:ascii="仿宋_GB2312" w:hAnsi="华文仿宋" w:eastAsia="仿宋_GB2312" w:cs="宋体"/>
          <w:bCs/>
          <w:color w:val="000000"/>
          <w:kern w:val="0"/>
          <w:sz w:val="32"/>
          <w:szCs w:val="32"/>
          <w:lang w:val="en-US" w:eastAsia="zh-CN" w:bidi="ar-SA"/>
        </w:rPr>
        <w:t>：纳入市财政预决算管理的“三公”经费，是</w:t>
      </w:r>
      <w:r>
        <w:rPr>
          <w:rFonts w:hint="eastAsia" w:ascii="仿宋_GB2312" w:hAnsi="仿宋_GB2312" w:eastAsia="仿宋_GB2312" w:cs="仿宋_GB2312"/>
          <w:bCs/>
          <w:color w:val="000000"/>
          <w:kern w:val="0"/>
          <w:sz w:val="32"/>
          <w:szCs w:val="32"/>
          <w:lang w:val="en-US" w:eastAsia="zh-CN" w:bidi="ar-SA"/>
        </w:rPr>
        <w:t>指市</w:t>
      </w:r>
      <w:r>
        <w:rPr>
          <w:rFonts w:hint="eastAsia" w:ascii="仿宋_GB2312" w:hAnsi="仿宋_GB2312" w:eastAsia="仿宋_GB2312" w:cs="仿宋_GB2312"/>
          <w:sz w:val="32"/>
          <w:szCs w:val="32"/>
        </w:rPr>
        <w:t>本级各部门用财政拨款安排的因公出国（境）费、公务用车购置及运行费和公务接待费。</w:t>
      </w:r>
      <w:r>
        <w:rPr>
          <w:rFonts w:hint="eastAsia" w:ascii="仿宋_GB2312" w:hAnsi="华文仿宋" w:eastAsia="仿宋_GB2312" w:cs="宋体"/>
          <w:bCs/>
          <w:color w:val="000000"/>
          <w:kern w:val="0"/>
          <w:sz w:val="32"/>
          <w:szCs w:val="32"/>
          <w:lang w:val="en-US" w:eastAsia="zh-CN" w:bidi="ar-SA"/>
        </w:rPr>
        <w:t>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eastAsia" w:ascii="仿宋_GB2312" w:hAnsi="华文仿宋" w:eastAsia="仿宋_GB2312"/>
          <w:color w:val="FF0000"/>
          <w:sz w:val="32"/>
          <w:szCs w:val="32"/>
        </w:rPr>
      </w:pPr>
      <w:r>
        <w:rPr>
          <w:rFonts w:hint="eastAsia" w:ascii="黑体" w:hAnsi="黑体" w:eastAsia="黑体" w:cs="黑体"/>
          <w:b/>
          <w:bCs/>
          <w:color w:val="000000"/>
          <w:kern w:val="0"/>
          <w:sz w:val="32"/>
          <w:szCs w:val="32"/>
          <w:lang w:val="en-US" w:eastAsia="zh-CN" w:bidi="ar-SA"/>
        </w:rPr>
        <w:t>八、机关运行经费</w:t>
      </w:r>
      <w:r>
        <w:rPr>
          <w:rFonts w:hint="eastAsia" w:ascii="仿宋_GB2312" w:hAnsi="华文仿宋" w:eastAsia="仿宋_GB2312" w:cs="宋体"/>
          <w:bCs/>
          <w:color w:val="000000"/>
          <w:kern w:val="0"/>
          <w:sz w:val="32"/>
          <w:szCs w:val="32"/>
          <w:lang w:val="en-US" w:eastAsia="zh-CN" w:bidi="ar-SA"/>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eastAsia" w:ascii="仿宋_GB2312" w:hAnsi="华文仿宋" w:eastAsia="仿宋_GB2312"/>
          <w:color w:val="FF0000"/>
          <w:sz w:val="32"/>
          <w:szCs w:val="32"/>
        </w:rPr>
      </w:pPr>
    </w:p>
    <w:p>
      <w:pPr>
        <w:spacing w:line="560" w:lineRule="exact"/>
        <w:ind w:firstLine="640" w:firstLineChars="200"/>
        <w:rPr>
          <w:rFonts w:hint="eastAsia" w:ascii="仿宋_GB2312" w:hAnsi="华文仿宋" w:eastAsia="仿宋_GB2312" w:cs="宋体"/>
          <w:bCs/>
          <w:color w:val="000000"/>
          <w:kern w:val="0"/>
          <w:sz w:val="32"/>
          <w:szCs w:val="32"/>
        </w:rPr>
      </w:pPr>
      <w:r>
        <w:rPr>
          <w:rFonts w:hint="eastAsia" w:ascii="仿宋_GB2312" w:hAnsi="华文仿宋" w:eastAsia="仿宋_GB2312" w:cs="宋体"/>
          <w:bCs/>
          <w:color w:val="000000"/>
          <w:kern w:val="0"/>
          <w:sz w:val="32"/>
          <w:szCs w:val="32"/>
        </w:rPr>
        <w:t>附件：柳州市</w:t>
      </w:r>
      <w:r>
        <w:rPr>
          <w:rFonts w:hint="eastAsia" w:ascii="仿宋_GB2312" w:hAnsi="华文仿宋" w:eastAsia="仿宋_GB2312" w:cs="宋体"/>
          <w:bCs/>
          <w:color w:val="000000"/>
          <w:kern w:val="0"/>
          <w:sz w:val="32"/>
          <w:szCs w:val="32"/>
          <w:lang w:val="en-US" w:eastAsia="zh-CN"/>
        </w:rPr>
        <w:t>储备粮管理中心</w:t>
      </w:r>
      <w:r>
        <w:rPr>
          <w:rFonts w:hint="eastAsia" w:ascii="仿宋_GB2312" w:hAnsi="华文仿宋" w:eastAsia="仿宋_GB2312" w:cs="宋体"/>
          <w:bCs/>
          <w:color w:val="000000"/>
          <w:kern w:val="0"/>
          <w:sz w:val="32"/>
          <w:szCs w:val="32"/>
        </w:rPr>
        <w:t>2021年单位预算公开表</w:t>
      </w:r>
    </w:p>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10601030101010101"/>
    <w:charset w:val="86"/>
    <w:family w:val="script"/>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fldChar w:fldCharType="begin"/>
    </w:r>
    <w:r>
      <w:rPr>
        <w:rStyle w:val="7"/>
      </w:rPr>
      <w:instrText xml:space="preserve">PAGE  </w:instrText>
    </w:r>
    <w:r>
      <w:fldChar w:fldCharType="separate"/>
    </w:r>
    <w:r>
      <w:rPr>
        <w:rStyle w:val="7"/>
      </w:rPr>
      <w:t>1</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fldChar w:fldCharType="begin"/>
    </w:r>
    <w:r>
      <w:rPr>
        <w:rStyle w:val="7"/>
      </w:rPr>
      <w:instrText xml:space="preserve">PAGE  </w:instrTex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94A2E0"/>
    <w:multiLevelType w:val="singleLevel"/>
    <w:tmpl w:val="A594A2E0"/>
    <w:lvl w:ilvl="0" w:tentative="0">
      <w:start w:val="1"/>
      <w:numFmt w:val="chineseCounting"/>
      <w:suff w:val="nothing"/>
      <w:lvlText w:val="%1、"/>
      <w:lvlJc w:val="left"/>
      <w:rPr>
        <w:rFonts w:hint="eastAsia"/>
      </w:rPr>
    </w:lvl>
  </w:abstractNum>
  <w:abstractNum w:abstractNumId="1">
    <w:nsid w:val="E8F683FD"/>
    <w:multiLevelType w:val="singleLevel"/>
    <w:tmpl w:val="E8F683FD"/>
    <w:lvl w:ilvl="0" w:tentative="0">
      <w:start w:val="1"/>
      <w:numFmt w:val="chineseCounting"/>
      <w:suff w:val="nothing"/>
      <w:lvlText w:val="（%1）"/>
      <w:lvlJc w:val="left"/>
      <w:rPr>
        <w:rFonts w:hint="eastAsia"/>
      </w:rPr>
    </w:lvl>
  </w:abstractNum>
  <w:abstractNum w:abstractNumId="2">
    <w:nsid w:val="FDA7173C"/>
    <w:multiLevelType w:val="singleLevel"/>
    <w:tmpl w:val="FDA7173C"/>
    <w:lvl w:ilvl="0" w:tentative="0">
      <w:start w:val="9"/>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8C49F0"/>
    <w:rsid w:val="048C49F0"/>
    <w:rsid w:val="12D14648"/>
    <w:rsid w:val="1AE1795F"/>
    <w:rsid w:val="1E3B06F9"/>
    <w:rsid w:val="35CC2DF0"/>
    <w:rsid w:val="386D74E5"/>
    <w:rsid w:val="4309295B"/>
    <w:rsid w:val="4BD10CC4"/>
    <w:rsid w:val="520E1756"/>
    <w:rsid w:val="5EBC2A54"/>
    <w:rsid w:val="65670B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6">
    <w:name w:val="Strong"/>
    <w:qFormat/>
    <w:uiPriority w:val="0"/>
    <w:rPr>
      <w:b/>
      <w:bCs/>
    </w:rPr>
  </w:style>
  <w:style w:type="character" w:styleId="7">
    <w:name w:val="page number"/>
    <w:basedOn w:val="5"/>
    <w:qFormat/>
    <w:uiPriority w:val="0"/>
  </w:style>
  <w:style w:type="paragraph" w:customStyle="1" w:styleId="8">
    <w:name w:val="正文1"/>
    <w:basedOn w:val="9"/>
    <w:qFormat/>
    <w:uiPriority w:val="0"/>
    <w:pPr>
      <w:widowControl/>
      <w:jc w:val="both"/>
    </w:pPr>
    <w:rPr>
      <w:rFonts w:ascii="Times New Roman" w:hAnsi="Times New Roman" w:eastAsia="Times New Roman"/>
      <w:sz w:val="21"/>
    </w:rPr>
  </w:style>
  <w:style w:type="paragraph" w:customStyle="1" w:styleId="9">
    <w:name w:val="[Normal]"/>
    <w:qFormat/>
    <w:uiPriority w:val="0"/>
    <w:rPr>
      <w:rFonts w:ascii="宋体" w:hAnsi="宋体" w:eastAsia="宋体" w:cs="Times New Roman"/>
      <w:sz w:val="24"/>
      <w:lang w:val="zh-CN"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2021-04-20T03:08:00Z</dcterms:created>
  <dc:creator>行走的马赛克</dc:creator>
  <cp:lastModifiedBy>行走的马赛克</cp:lastModifiedBy>
  <dcterms:modified xsi:type="dcterms:W3CDTF">2021-05-10T02:33:38Z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F992709B764B471BB73F10FDA2A3BE20</vt:lpwstr>
  </property>
</Properties>
</file>